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FB04" w14:textId="2AA7DA2F" w:rsidR="00132B08" w:rsidRPr="009C5A9F" w:rsidRDefault="00202AC7" w:rsidP="00132B08">
      <w:pPr>
        <w:pStyle w:val="Nadpis1"/>
        <w:jc w:val="both"/>
        <w:rPr>
          <w:rFonts w:ascii="Verdana" w:hAnsi="Verdana"/>
          <w:sz w:val="28"/>
          <w:szCs w:val="28"/>
        </w:rPr>
      </w:pPr>
      <w:r w:rsidRPr="00295B81">
        <w:rPr>
          <w:rFonts w:ascii="Verdana" w:hAnsi="Verdana"/>
          <w:noProof/>
          <w:sz w:val="28"/>
          <w:szCs w:val="28"/>
        </w:rPr>
        <mc:AlternateContent>
          <mc:Choice Requires="wps">
            <w:drawing>
              <wp:anchor distT="45720" distB="45720" distL="114300" distR="114300" simplePos="0" relativeHeight="251669504" behindDoc="0" locked="0" layoutInCell="1" allowOverlap="1" wp14:anchorId="11F14A89" wp14:editId="3FB9CF5E">
                <wp:simplePos x="0" y="0"/>
                <wp:positionH relativeFrom="margin">
                  <wp:align>left</wp:align>
                </wp:positionH>
                <wp:positionV relativeFrom="paragraph">
                  <wp:posOffset>273800</wp:posOffset>
                </wp:positionV>
                <wp:extent cx="3096260" cy="257810"/>
                <wp:effectExtent l="0" t="0" r="8890" b="8890"/>
                <wp:wrapSquare wrapText="bothSides"/>
                <wp:docPr id="7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257810"/>
                        </a:xfrm>
                        <a:prstGeom prst="rect">
                          <a:avLst/>
                        </a:prstGeom>
                        <a:solidFill>
                          <a:srgbClr val="FFFFFF"/>
                        </a:solidFill>
                        <a:ln w="9525">
                          <a:noFill/>
                          <a:miter lim="800000"/>
                          <a:headEnd/>
                          <a:tailEnd/>
                        </a:ln>
                      </wps:spPr>
                      <wps:txbx>
                        <w:txbxContent>
                          <w:p w14:paraId="3A62F745" w14:textId="77777777" w:rsidR="00202AC7" w:rsidRPr="004874EA" w:rsidRDefault="00202AC7" w:rsidP="00202AC7">
                            <w:pPr>
                              <w:rPr>
                                <w:rFonts w:ascii="Verdana" w:hAnsi="Verdana"/>
                              </w:rPr>
                            </w:pPr>
                            <w:r w:rsidRPr="004874EA">
                              <w:rPr>
                                <w:rFonts w:ascii="Verdana" w:hAnsi="Verdana"/>
                              </w:rPr>
                              <w:t>Autor: Vít Hradil, hlavní ekonom CYRRUS</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14A89" id="_x0000_t202" coordsize="21600,21600" o:spt="202" path="m,l,21600r21600,l21600,xe">
                <v:stroke joinstyle="miter"/>
                <v:path gradientshapeok="t" o:connecttype="rect"/>
              </v:shapetype>
              <v:shape id="Textové pole 2" o:spid="_x0000_s1026" type="#_x0000_t202" style="position:absolute;left:0;text-align:left;margin-left:0;margin-top:21.55pt;width:243.8pt;height:20.3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" stroked="f">
                <v:textbox inset="0">
                  <w:txbxContent>
                    <w:p w14:paraId="3A62F745" w14:textId="77777777" w:rsidR="00202AC7" w:rsidRPr="004874EA" w:rsidRDefault="00202AC7" w:rsidP="00202AC7">
                      <w:pPr>
                        <w:rPr>
                          <w:rFonts w:ascii="Verdana" w:hAnsi="Verdana"/>
                        </w:rPr>
                      </w:pPr>
                      <w:r w:rsidRPr="004874EA">
                        <w:rPr>
                          <w:rFonts w:ascii="Verdana" w:hAnsi="Verdana"/>
                        </w:rPr>
                        <w:t>Autor: Vít Hradil, hlavní ekonom CYRRUS</w:t>
                      </w:r>
                    </w:p>
                  </w:txbxContent>
                </v:textbox>
                <w10:wrap type="square" anchorx="margin"/>
              </v:shape>
            </w:pict>
          </mc:Fallback>
        </mc:AlternateContent>
      </w:r>
      <w:r w:rsidR="001E6C3E">
        <w:rPr>
          <w:rFonts w:ascii="Verdana" w:hAnsi="Verdana"/>
          <w:noProof/>
          <w:sz w:val="20"/>
          <w:szCs w:val="16"/>
        </w:rPr>
        <mc:AlternateContent>
          <mc:Choice Requires="wpg">
            <w:drawing>
              <wp:anchor distT="0" distB="0" distL="114300" distR="114300" simplePos="0" relativeHeight="251661312" behindDoc="0" locked="0" layoutInCell="1" allowOverlap="1" wp14:anchorId="16EE169F" wp14:editId="197248AF">
                <wp:simplePos x="0" y="0"/>
                <wp:positionH relativeFrom="margin">
                  <wp:align>right</wp:align>
                </wp:positionH>
                <wp:positionV relativeFrom="paragraph">
                  <wp:posOffset>1626005</wp:posOffset>
                </wp:positionV>
                <wp:extent cx="3104515" cy="2326005"/>
                <wp:effectExtent l="0" t="0" r="635" b="0"/>
                <wp:wrapTopAndBottom/>
                <wp:docPr id="5" name="Skupina 5"/>
                <wp:cNvGraphicFramePr/>
                <a:graphic xmlns:a="http://schemas.openxmlformats.org/drawingml/2006/main">
                  <a:graphicData uri="http://schemas.microsoft.com/office/word/2010/wordprocessingGroup">
                    <wpg:wgp>
                      <wpg:cNvGrpSpPr/>
                      <wpg:grpSpPr>
                        <a:xfrm>
                          <a:off x="0" y="0"/>
                          <a:ext cx="3104515" cy="2326005"/>
                          <a:chOff x="0" y="0"/>
                          <a:chExt cx="3104515" cy="2326005"/>
                        </a:xfrm>
                      </wpg:grpSpPr>
                      <wps:wsp>
                        <wps:cNvPr id="7" name="Textové pole 7"/>
                        <wps:cNvSpPr txBox="1">
                          <a:spLocks noChangeArrowheads="1"/>
                        </wps:cNvSpPr>
                        <wps:spPr bwMode="auto">
                          <a:xfrm>
                            <a:off x="6350" y="0"/>
                            <a:ext cx="3098165" cy="231140"/>
                          </a:xfrm>
                          <a:prstGeom prst="rect">
                            <a:avLst/>
                          </a:prstGeom>
                          <a:gradFill flip="none" rotWithShape="1">
                            <a:gsLst>
                              <a:gs pos="0">
                                <a:srgbClr val="FFC832"/>
                              </a:gs>
                              <a:gs pos="100000">
                                <a:srgbClr val="FFD82C">
                                  <a:alpha val="15000"/>
                                </a:srgbClr>
                              </a:gs>
                            </a:gsLst>
                            <a:lin ang="18900000" scaled="1"/>
                            <a:tileRect/>
                          </a:gradFill>
                          <a:ln w="9525">
                            <a:noFill/>
                            <a:miter lim="800000"/>
                            <a:headEnd/>
                            <a:tailEnd/>
                          </a:ln>
                        </wps:spPr>
                        <wps:txbx>
                          <w:txbxContent>
                            <w:p w14:paraId="50399497" w14:textId="39C58DC7" w:rsidR="00417717" w:rsidRPr="004874EA" w:rsidRDefault="00417717" w:rsidP="00417717">
                              <w:pPr>
                                <w:spacing w:after="0" w:line="240" w:lineRule="auto"/>
                                <w:rPr>
                                  <w:rFonts w:ascii="Verdana" w:hAnsi="Verdana"/>
                                  <w:sz w:val="16"/>
                                </w:rPr>
                              </w:pPr>
                              <w:r>
                                <w:rPr>
                                  <w:rFonts w:ascii="Verdana" w:hAnsi="Verdana"/>
                                  <w:sz w:val="16"/>
                                </w:rPr>
                                <w:t>Graf 1: Reálná mzda v ČR (r/r v %)</w:t>
                              </w:r>
                            </w:p>
                          </w:txbxContent>
                        </wps:txbx>
                        <wps:bodyPr rot="0" vert="horz" wrap="square" lIns="91440" tIns="45720" rIns="91440" bIns="45720" anchor="ctr" anchorCtr="0">
                          <a:noAutofit/>
                        </wps:bodyPr>
                      </wps:wsp>
                      <wpg:graphicFrame>
                        <wpg:cNvPr id="1" name="Graf 1"/>
                        <wpg:cNvFrPr/>
                        <wpg:xfrm>
                          <a:off x="0" y="228600"/>
                          <a:ext cx="3098165" cy="1858645"/>
                        </wpg:xfrm>
                        <a:graphic>
                          <a:graphicData uri="http://schemas.openxmlformats.org/drawingml/2006/chart">
                            <c:chart xmlns:c="http://schemas.openxmlformats.org/drawingml/2006/chart" xmlns:r="http://schemas.openxmlformats.org/officeDocument/2006/relationships" r:id="rId8"/>
                          </a:graphicData>
                        </a:graphic>
                      </wpg:graphicFrame>
                      <wps:wsp>
                        <wps:cNvPr id="8" name="Textové pole 2"/>
                        <wps:cNvSpPr txBox="1">
                          <a:spLocks noChangeArrowheads="1"/>
                        </wps:cNvSpPr>
                        <wps:spPr bwMode="auto">
                          <a:xfrm>
                            <a:off x="12700" y="2089150"/>
                            <a:ext cx="3091815" cy="236855"/>
                          </a:xfrm>
                          <a:prstGeom prst="rect">
                            <a:avLst/>
                          </a:prstGeom>
                          <a:solidFill>
                            <a:srgbClr val="FFFFFF"/>
                          </a:solidFill>
                          <a:ln w="9525">
                            <a:noFill/>
                            <a:miter lim="800000"/>
                            <a:headEnd/>
                            <a:tailEnd/>
                          </a:ln>
                        </wps:spPr>
                        <wps:txbx>
                          <w:txbxContent>
                            <w:p w14:paraId="2FB46281" w14:textId="77777777" w:rsidR="00417717" w:rsidRPr="004874EA" w:rsidRDefault="00417717" w:rsidP="00417717">
                              <w:pPr>
                                <w:rPr>
                                  <w:rFonts w:ascii="Verdana" w:hAnsi="Verdana"/>
                                  <w:sz w:val="12"/>
                                </w:rPr>
                              </w:pPr>
                              <w:r w:rsidRPr="004874EA">
                                <w:rPr>
                                  <w:rFonts w:ascii="Verdana" w:hAnsi="Verdana"/>
                                  <w:sz w:val="12"/>
                                </w:rPr>
                                <w:t xml:space="preserve">Zdroj: </w:t>
                              </w:r>
                              <w:r>
                                <w:rPr>
                                  <w:rFonts w:ascii="Verdana" w:hAnsi="Verdana"/>
                                  <w:sz w:val="12"/>
                                </w:rPr>
                                <w:t>ČSÚ, CYRRUS</w:t>
                              </w:r>
                            </w:p>
                          </w:txbxContent>
                        </wps:txbx>
                        <wps:bodyPr rot="0" vert="horz" wrap="square" lIns="91440" tIns="45720" rIns="91440" bIns="45720" anchor="t" anchorCtr="0">
                          <a:noAutofit/>
                        </wps:bodyPr>
                      </wps:wsp>
                    </wpg:wgp>
                  </a:graphicData>
                </a:graphic>
              </wp:anchor>
            </w:drawing>
          </mc:Choice>
          <mc:Fallback>
            <w:pict>
              <v:group w14:anchorId="16EE169F" id="Skupina 5" o:spid="_x0000_s1027" style="position:absolute;left:0;text-align:left;margin-left:193.25pt;margin-top:128.05pt;width:244.45pt;height:183.15pt;z-index:251661312;mso-position-horizontal:right;mso-position-horizontal-relative:margin" coordsize="31045,23260"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">
                <v:shape id="Textové pole 7" o:spid="_x0000_s1028" type="#_x0000_t202" style="position:absolute;left:63;width:30982;height:2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" fillcolor="#ffc832" stroked="f">
                  <v:fill color2="#ffd82c" o:opacity2="9830f" rotate="t" angle="135" focus="100%" type="gradient"/>
                  <v:textbox>
                    <w:txbxContent>
                      <w:p w14:paraId="50399497" w14:textId="39C58DC7" w:rsidR="00417717" w:rsidRPr="004874EA" w:rsidRDefault="00417717" w:rsidP="00417717">
                        <w:pPr>
                          <w:spacing w:after="0" w:line="240" w:lineRule="auto"/>
                          <w:rPr>
                            <w:rFonts w:ascii="Verdana" w:hAnsi="Verdana"/>
                            <w:sz w:val="16"/>
                          </w:rPr>
                        </w:pPr>
                        <w:r>
                          <w:rPr>
                            <w:rFonts w:ascii="Verdana" w:hAnsi="Verdana"/>
                            <w:sz w:val="16"/>
                          </w:rPr>
                          <w:t>Graf 1: Reálná mzda v ČR (r/r v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 o:spid="_x0000_s1029" type="#_x0000_t75" style="position:absolute;top:2316;width:30967;height:185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">
                  <v:imagedata r:id="rId9" o:title=""/>
                  <o:lock v:ext="edit" aspectratio="f"/>
                </v:shape>
                <v:shape id="_x0000_s1030" type="#_x0000_t202" style="position:absolute;left:127;top:20891;width:30918;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FB46281" w14:textId="77777777" w:rsidR="00417717" w:rsidRPr="004874EA" w:rsidRDefault="00417717" w:rsidP="00417717">
                        <w:pPr>
                          <w:rPr>
                            <w:rFonts w:ascii="Verdana" w:hAnsi="Verdana"/>
                            <w:sz w:val="12"/>
                          </w:rPr>
                        </w:pPr>
                        <w:r w:rsidRPr="004874EA">
                          <w:rPr>
                            <w:rFonts w:ascii="Verdana" w:hAnsi="Verdana"/>
                            <w:sz w:val="12"/>
                          </w:rPr>
                          <w:t xml:space="preserve">Zdroj: </w:t>
                        </w:r>
                        <w:r>
                          <w:rPr>
                            <w:rFonts w:ascii="Verdana" w:hAnsi="Verdana"/>
                            <w:sz w:val="12"/>
                          </w:rPr>
                          <w:t>ČSÚ, CYRRUS</w:t>
                        </w:r>
                      </w:p>
                    </w:txbxContent>
                  </v:textbox>
                </v:shape>
                <w10:wrap type="topAndBottom" anchorx="margin"/>
              </v:group>
            </w:pict>
          </mc:Fallback>
        </mc:AlternateContent>
      </w:r>
      <w:r w:rsidR="001E6C3E" w:rsidRPr="009C5A9F">
        <w:rPr>
          <w:rFonts w:ascii="Verdana" w:hAnsi="Verdana"/>
          <w:noProof/>
          <w:sz w:val="28"/>
          <w:szCs w:val="28"/>
        </w:rPr>
        <mc:AlternateContent>
          <mc:Choice Requires="wps">
            <w:drawing>
              <wp:anchor distT="45720" distB="107950" distL="114300" distR="114300" simplePos="0" relativeHeight="251618304" behindDoc="0" locked="0" layoutInCell="1" allowOverlap="1" wp14:anchorId="7037499E" wp14:editId="576A79C0">
                <wp:simplePos x="0" y="0"/>
                <wp:positionH relativeFrom="margin">
                  <wp:align>left</wp:align>
                </wp:positionH>
                <wp:positionV relativeFrom="paragraph">
                  <wp:posOffset>548640</wp:posOffset>
                </wp:positionV>
                <wp:extent cx="3084830" cy="3796030"/>
                <wp:effectExtent l="0" t="0" r="127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3796030"/>
                        </a:xfrm>
                        <a:prstGeom prst="rect">
                          <a:avLst/>
                        </a:prstGeom>
                        <a:gradFill flip="none" rotWithShape="1">
                          <a:gsLst>
                            <a:gs pos="0">
                              <a:srgbClr val="FFC832"/>
                            </a:gs>
                            <a:gs pos="100000">
                              <a:srgbClr val="FFD82C">
                                <a:alpha val="15000"/>
                              </a:srgbClr>
                            </a:gs>
                          </a:gsLst>
                          <a:lin ang="18900000" scaled="1"/>
                          <a:tileRect/>
                        </a:gradFill>
                        <a:ln w="3175" cap="flat">
                          <a:noFill/>
                          <a:miter lim="800000"/>
                          <a:headEnd/>
                          <a:tailEnd/>
                        </a:ln>
                      </wps:spPr>
                      <wps:txbx>
                        <w:txbxContent>
                          <w:p w14:paraId="5EA2F944" w14:textId="16801F28" w:rsidR="000A4CDF" w:rsidRDefault="001E6C3E" w:rsidP="00CB0113">
                            <w:pPr>
                              <w:pStyle w:val="Odstavecseseznamem"/>
                              <w:numPr>
                                <w:ilvl w:val="0"/>
                                <w:numId w:val="10"/>
                              </w:numPr>
                              <w:spacing w:line="300" w:lineRule="auto"/>
                              <w:contextualSpacing w:val="0"/>
                              <w:jc w:val="both"/>
                              <w:rPr>
                                <w:rFonts w:ascii="Verdana" w:hAnsi="Verdana"/>
                                <w:sz w:val="20"/>
                              </w:rPr>
                            </w:pPr>
                            <w:r>
                              <w:rPr>
                                <w:rFonts w:ascii="Verdana" w:hAnsi="Verdana"/>
                                <w:sz w:val="20"/>
                              </w:rPr>
                              <w:t>Česko aktuálně prochází nejprudším propadem reálných mezd v rámci zemí OECD i své vlastní samostatné historie</w:t>
                            </w:r>
                          </w:p>
                          <w:p w14:paraId="4A7D1A2F" w14:textId="0E683608" w:rsidR="000A4CDF" w:rsidRDefault="001E6C3E" w:rsidP="00CB0113">
                            <w:pPr>
                              <w:pStyle w:val="Odstavecseseznamem"/>
                              <w:numPr>
                                <w:ilvl w:val="0"/>
                                <w:numId w:val="10"/>
                              </w:numPr>
                              <w:spacing w:line="300" w:lineRule="auto"/>
                              <w:contextualSpacing w:val="0"/>
                              <w:jc w:val="both"/>
                              <w:rPr>
                                <w:rFonts w:ascii="Verdana" w:hAnsi="Verdana"/>
                                <w:sz w:val="20"/>
                              </w:rPr>
                            </w:pPr>
                            <w:r>
                              <w:rPr>
                                <w:rFonts w:ascii="Verdana" w:hAnsi="Verdana"/>
                                <w:sz w:val="20"/>
                              </w:rPr>
                              <w:t>K udržení loňské životní úrovně bude letos Čechům chybět zhruba 170 mld. Kč</w:t>
                            </w:r>
                          </w:p>
                          <w:p w14:paraId="01D9EC9F" w14:textId="406FAFCD" w:rsidR="000A4CDF" w:rsidRDefault="001E6C3E" w:rsidP="002C43A1">
                            <w:pPr>
                              <w:pStyle w:val="Odstavecseseznamem"/>
                              <w:numPr>
                                <w:ilvl w:val="0"/>
                                <w:numId w:val="10"/>
                              </w:numPr>
                              <w:spacing w:line="300" w:lineRule="auto"/>
                              <w:contextualSpacing w:val="0"/>
                              <w:jc w:val="both"/>
                              <w:rPr>
                                <w:rFonts w:ascii="Verdana" w:hAnsi="Verdana"/>
                                <w:sz w:val="20"/>
                              </w:rPr>
                            </w:pPr>
                            <w:r>
                              <w:rPr>
                                <w:rFonts w:ascii="Verdana" w:hAnsi="Verdana"/>
                                <w:sz w:val="20"/>
                              </w:rPr>
                              <w:t>Na základě historický</w:t>
                            </w:r>
                            <w:r w:rsidR="00AD7FAD">
                              <w:rPr>
                                <w:rFonts w:ascii="Verdana" w:hAnsi="Verdana"/>
                                <w:sz w:val="20"/>
                              </w:rPr>
                              <w:t>ch</w:t>
                            </w:r>
                            <w:r>
                              <w:rPr>
                                <w:rFonts w:ascii="Verdana" w:hAnsi="Verdana"/>
                                <w:sz w:val="20"/>
                              </w:rPr>
                              <w:t xml:space="preserve"> zkušeností evropských zemí odhadujeme dopad tohoto šoku na kvalitu života společnosti</w:t>
                            </w:r>
                          </w:p>
                          <w:p w14:paraId="049995F7" w14:textId="503D976B" w:rsidR="000A4CDF" w:rsidRDefault="001E6C3E" w:rsidP="002C43A1">
                            <w:pPr>
                              <w:pStyle w:val="Odstavecseseznamem"/>
                              <w:numPr>
                                <w:ilvl w:val="0"/>
                                <w:numId w:val="10"/>
                              </w:numPr>
                              <w:spacing w:line="300" w:lineRule="auto"/>
                              <w:contextualSpacing w:val="0"/>
                              <w:jc w:val="both"/>
                              <w:rPr>
                                <w:rFonts w:ascii="Verdana" w:hAnsi="Verdana"/>
                                <w:sz w:val="20"/>
                              </w:rPr>
                            </w:pPr>
                            <w:r>
                              <w:rPr>
                                <w:rFonts w:ascii="Verdana" w:hAnsi="Verdana"/>
                                <w:sz w:val="20"/>
                              </w:rPr>
                              <w:t>V </w:t>
                            </w:r>
                            <w:r w:rsidRPr="001E6C3E">
                              <w:rPr>
                                <w:rFonts w:ascii="Verdana" w:hAnsi="Verdana"/>
                                <w:sz w:val="20"/>
                              </w:rPr>
                              <w:t>letech 2022-24 očekáváme zhoršení četnosti krádeží, spotřeby alkoholu, četnosti rozvodů, vnímaného zdravotního stavu, četnosti sebevražd, podílu mladistvých mimo školu i zaměstnání a důvěry ve vládu</w:t>
                            </w:r>
                          </w:p>
                          <w:p w14:paraId="609DCF71" w14:textId="16C5E5FA" w:rsidR="000A4CDF" w:rsidRPr="002C43A1" w:rsidRDefault="001E6C3E" w:rsidP="002C43A1">
                            <w:pPr>
                              <w:pStyle w:val="Odstavecseseznamem"/>
                              <w:numPr>
                                <w:ilvl w:val="0"/>
                                <w:numId w:val="10"/>
                              </w:numPr>
                              <w:spacing w:line="300" w:lineRule="auto"/>
                              <w:contextualSpacing w:val="0"/>
                              <w:jc w:val="both"/>
                              <w:rPr>
                                <w:rFonts w:ascii="Verdana" w:hAnsi="Verdana"/>
                                <w:sz w:val="20"/>
                              </w:rPr>
                            </w:pPr>
                            <w:r>
                              <w:rPr>
                                <w:rFonts w:ascii="Verdana" w:hAnsi="Verdana"/>
                                <w:sz w:val="20"/>
                              </w:rPr>
                              <w:t>Neočekáváme naopak zhoršení úmrtnosti novorozenců, naděje dožití a četnosti vražd</w:t>
                            </w:r>
                          </w:p>
                          <w:p w14:paraId="3C115E9E" w14:textId="77777777" w:rsidR="000A4CDF" w:rsidRDefault="000A4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7499E" id="_x0000_s1031" type="#_x0000_t202" style="position:absolute;left:0;text-align:left;margin-left:0;margin-top:43.2pt;width:242.9pt;height:298.9pt;z-index:251618304;visibility:visible;mso-wrap-style:square;mso-width-percent:0;mso-height-percent:0;mso-wrap-distance-left:9pt;mso-wrap-distance-top:3.6pt;mso-wrap-distance-right:9pt;mso-wrap-distance-bottom:8.5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" fillcolor="#ffc832" stroked="f" strokeweight=".25pt">
                <v:fill color2="#ffd82c" o:opacity2="9830f" rotate="t" angle="135" focus="100%" type="gradient"/>
                <v:textbox>
                  <w:txbxContent>
                    <w:p w14:paraId="5EA2F944" w14:textId="16801F28" w:rsidR="000A4CDF" w:rsidRDefault="001E6C3E" w:rsidP="00CB0113">
                      <w:pPr>
                        <w:pStyle w:val="Odstavecseseznamem"/>
                        <w:numPr>
                          <w:ilvl w:val="0"/>
                          <w:numId w:val="10"/>
                        </w:numPr>
                        <w:spacing w:line="300" w:lineRule="auto"/>
                        <w:contextualSpacing w:val="0"/>
                        <w:jc w:val="both"/>
                        <w:rPr>
                          <w:rFonts w:ascii="Verdana" w:hAnsi="Verdana"/>
                          <w:sz w:val="20"/>
                        </w:rPr>
                      </w:pPr>
                      <w:r>
                        <w:rPr>
                          <w:rFonts w:ascii="Verdana" w:hAnsi="Verdana"/>
                          <w:sz w:val="20"/>
                        </w:rPr>
                        <w:t>Česko aktuálně prochází nejprudším propadem reálných mezd v rámci zemí OECD i své vlastní samostatné historie</w:t>
                      </w:r>
                    </w:p>
                    <w:p w14:paraId="4A7D1A2F" w14:textId="0E683608" w:rsidR="000A4CDF" w:rsidRDefault="001E6C3E" w:rsidP="00CB0113">
                      <w:pPr>
                        <w:pStyle w:val="Odstavecseseznamem"/>
                        <w:numPr>
                          <w:ilvl w:val="0"/>
                          <w:numId w:val="10"/>
                        </w:numPr>
                        <w:spacing w:line="300" w:lineRule="auto"/>
                        <w:contextualSpacing w:val="0"/>
                        <w:jc w:val="both"/>
                        <w:rPr>
                          <w:rFonts w:ascii="Verdana" w:hAnsi="Verdana"/>
                          <w:sz w:val="20"/>
                        </w:rPr>
                      </w:pPr>
                      <w:r>
                        <w:rPr>
                          <w:rFonts w:ascii="Verdana" w:hAnsi="Verdana"/>
                          <w:sz w:val="20"/>
                        </w:rPr>
                        <w:t>K udržení loňské životní úrovně bude letos Čechům chybět zhruba 170 mld. Kč</w:t>
                      </w:r>
                    </w:p>
                    <w:p w14:paraId="01D9EC9F" w14:textId="406FAFCD" w:rsidR="000A4CDF" w:rsidRDefault="001E6C3E" w:rsidP="002C43A1">
                      <w:pPr>
                        <w:pStyle w:val="Odstavecseseznamem"/>
                        <w:numPr>
                          <w:ilvl w:val="0"/>
                          <w:numId w:val="10"/>
                        </w:numPr>
                        <w:spacing w:line="300" w:lineRule="auto"/>
                        <w:contextualSpacing w:val="0"/>
                        <w:jc w:val="both"/>
                        <w:rPr>
                          <w:rFonts w:ascii="Verdana" w:hAnsi="Verdana"/>
                          <w:sz w:val="20"/>
                        </w:rPr>
                      </w:pPr>
                      <w:r>
                        <w:rPr>
                          <w:rFonts w:ascii="Verdana" w:hAnsi="Verdana"/>
                          <w:sz w:val="20"/>
                        </w:rPr>
                        <w:t>Na základě historický</w:t>
                      </w:r>
                      <w:r w:rsidR="00AD7FAD">
                        <w:rPr>
                          <w:rFonts w:ascii="Verdana" w:hAnsi="Verdana"/>
                          <w:sz w:val="20"/>
                        </w:rPr>
                        <w:t>ch</w:t>
                      </w:r>
                      <w:r>
                        <w:rPr>
                          <w:rFonts w:ascii="Verdana" w:hAnsi="Verdana"/>
                          <w:sz w:val="20"/>
                        </w:rPr>
                        <w:t xml:space="preserve"> zkušeností evropských zemí odhadujeme dopad tohoto šoku na kvalitu života společnosti</w:t>
                      </w:r>
                    </w:p>
                    <w:p w14:paraId="049995F7" w14:textId="503D976B" w:rsidR="000A4CDF" w:rsidRDefault="001E6C3E" w:rsidP="002C43A1">
                      <w:pPr>
                        <w:pStyle w:val="Odstavecseseznamem"/>
                        <w:numPr>
                          <w:ilvl w:val="0"/>
                          <w:numId w:val="10"/>
                        </w:numPr>
                        <w:spacing w:line="300" w:lineRule="auto"/>
                        <w:contextualSpacing w:val="0"/>
                        <w:jc w:val="both"/>
                        <w:rPr>
                          <w:rFonts w:ascii="Verdana" w:hAnsi="Verdana"/>
                          <w:sz w:val="20"/>
                        </w:rPr>
                      </w:pPr>
                      <w:r>
                        <w:rPr>
                          <w:rFonts w:ascii="Verdana" w:hAnsi="Verdana"/>
                          <w:sz w:val="20"/>
                        </w:rPr>
                        <w:t>V </w:t>
                      </w:r>
                      <w:r w:rsidRPr="001E6C3E">
                        <w:rPr>
                          <w:rFonts w:ascii="Verdana" w:hAnsi="Verdana"/>
                          <w:sz w:val="20"/>
                        </w:rPr>
                        <w:t>letech 2022-24 očekáváme zhoršení četnosti krádeží, spotřeby alkoholu, četnosti rozvodů, vnímaného zdravotního stavu, četnosti sebevražd, podílu mladistvých mimo školu i zaměstnání a důvěry ve vládu</w:t>
                      </w:r>
                    </w:p>
                    <w:p w14:paraId="609DCF71" w14:textId="16C5E5FA" w:rsidR="000A4CDF" w:rsidRPr="002C43A1" w:rsidRDefault="001E6C3E" w:rsidP="002C43A1">
                      <w:pPr>
                        <w:pStyle w:val="Odstavecseseznamem"/>
                        <w:numPr>
                          <w:ilvl w:val="0"/>
                          <w:numId w:val="10"/>
                        </w:numPr>
                        <w:spacing w:line="300" w:lineRule="auto"/>
                        <w:contextualSpacing w:val="0"/>
                        <w:jc w:val="both"/>
                        <w:rPr>
                          <w:rFonts w:ascii="Verdana" w:hAnsi="Verdana"/>
                          <w:sz w:val="20"/>
                        </w:rPr>
                      </w:pPr>
                      <w:r>
                        <w:rPr>
                          <w:rFonts w:ascii="Verdana" w:hAnsi="Verdana"/>
                          <w:sz w:val="20"/>
                        </w:rPr>
                        <w:t>Neočekáváme naopak zhoršení úmrtnosti novorozenců, naděje dožití a četnosti vražd</w:t>
                      </w:r>
                    </w:p>
                    <w:p w14:paraId="3C115E9E" w14:textId="77777777" w:rsidR="000A4CDF" w:rsidRDefault="000A4CDF"/>
                  </w:txbxContent>
                </v:textbox>
                <w10:wrap type="square" anchorx="margin"/>
              </v:shape>
            </w:pict>
          </mc:Fallback>
        </mc:AlternateContent>
      </w:r>
      <w:r w:rsidR="002B3F70">
        <w:rPr>
          <w:rFonts w:ascii="Verdana" w:hAnsi="Verdana"/>
          <w:sz w:val="28"/>
          <w:szCs w:val="28"/>
        </w:rPr>
        <w:t xml:space="preserve">Česko </w:t>
      </w:r>
      <w:r>
        <w:rPr>
          <w:rFonts w:ascii="Verdana" w:hAnsi="Verdana"/>
          <w:sz w:val="28"/>
          <w:szCs w:val="28"/>
        </w:rPr>
        <w:t>chudne</w:t>
      </w:r>
    </w:p>
    <w:p w14:paraId="6CC0AE32" w14:textId="5A64384D" w:rsidR="00E71371" w:rsidRPr="009C5A9F" w:rsidRDefault="00925BF7" w:rsidP="004874EA">
      <w:pPr>
        <w:pStyle w:val="Nadpis3"/>
        <w:spacing w:before="120" w:after="160" w:line="240" w:lineRule="auto"/>
        <w:rPr>
          <w:rFonts w:ascii="Verdana" w:hAnsi="Verdana"/>
          <w:b/>
        </w:rPr>
      </w:pPr>
      <w:r>
        <w:rPr>
          <w:rFonts w:ascii="Verdana" w:hAnsi="Verdana"/>
          <w:b/>
          <w:sz w:val="22"/>
        </w:rPr>
        <w:t>Skokový pokles životní úrovně</w:t>
      </w:r>
    </w:p>
    <w:p w14:paraId="30E92D3D" w14:textId="53167728" w:rsidR="00925BF7" w:rsidRDefault="0059171F" w:rsidP="002857A3">
      <w:pPr>
        <w:spacing w:line="360" w:lineRule="auto"/>
        <w:jc w:val="both"/>
        <w:rPr>
          <w:rFonts w:ascii="Verdana" w:hAnsi="Verdana"/>
          <w:sz w:val="20"/>
          <w:szCs w:val="16"/>
          <w:lang w:eastAsia="cs-CZ"/>
        </w:rPr>
      </w:pPr>
      <w:r>
        <w:rPr>
          <w:rFonts w:ascii="Verdana" w:hAnsi="Verdana"/>
          <w:sz w:val="20"/>
          <w:szCs w:val="16"/>
          <w:lang w:eastAsia="cs-CZ"/>
        </w:rPr>
        <w:t>R</w:t>
      </w:r>
      <w:r w:rsidR="00925BF7">
        <w:rPr>
          <w:rFonts w:ascii="Verdana" w:hAnsi="Verdana"/>
          <w:sz w:val="20"/>
          <w:szCs w:val="16"/>
          <w:lang w:eastAsia="cs-CZ"/>
        </w:rPr>
        <w:t>ychlý růst spotřebitelských cen, který Česko v uplynulých měsících zažívá, nemusí automaticky znamenat, že se Češi budou ve výsledku mít hůře. Všeobecné mírné zdražování je koneckonců v západních ekonomikách naprosto standardní jev, a je dokonce i cílem centrálních bank, včetně té české. Za normálních okolností ovšem růst</w:t>
      </w:r>
      <w:r w:rsidR="000E2216">
        <w:rPr>
          <w:rFonts w:ascii="Verdana" w:hAnsi="Verdana"/>
          <w:sz w:val="20"/>
          <w:szCs w:val="16"/>
          <w:lang w:eastAsia="cs-CZ"/>
        </w:rPr>
        <w:t xml:space="preserve"> cen</w:t>
      </w:r>
      <w:r w:rsidR="00925BF7">
        <w:rPr>
          <w:rFonts w:ascii="Verdana" w:hAnsi="Verdana"/>
          <w:sz w:val="20"/>
          <w:szCs w:val="16"/>
          <w:lang w:eastAsia="cs-CZ"/>
        </w:rPr>
        <w:t xml:space="preserve"> bývá kompenzován stejným či rychlejším navyšováním průměrných mezd. Ačkoliv tak cenovky v obchodech každoročně hlásí vyšší cifry, ve srovnání s výplatami </w:t>
      </w:r>
      <w:r w:rsidR="00E2486F">
        <w:rPr>
          <w:rFonts w:ascii="Verdana" w:hAnsi="Verdana"/>
          <w:sz w:val="20"/>
          <w:szCs w:val="16"/>
          <w:lang w:eastAsia="cs-CZ"/>
        </w:rPr>
        <w:t xml:space="preserve">bývá zboží naopak čím dál dostupnější. V takovém případě pak hovoříme o růstu reálných mezd. </w:t>
      </w:r>
      <w:r w:rsidR="00E2486F" w:rsidRPr="000E2216">
        <w:rPr>
          <w:rFonts w:ascii="Verdana" w:hAnsi="Verdana"/>
          <w:b/>
          <w:sz w:val="20"/>
          <w:szCs w:val="16"/>
          <w:lang w:eastAsia="cs-CZ"/>
        </w:rPr>
        <w:t xml:space="preserve">Ten byl v Česku realitou po drtivou většinu moderní historie země, </w:t>
      </w:r>
      <w:r w:rsidR="00E2486F" w:rsidRPr="000E2216">
        <w:rPr>
          <w:rFonts w:ascii="Verdana" w:hAnsi="Verdana"/>
          <w:b/>
          <w:sz w:val="20"/>
          <w:szCs w:val="16"/>
          <w:lang w:eastAsia="cs-CZ"/>
        </w:rPr>
        <w:t>jak ukazuje Graf 1</w:t>
      </w:r>
      <w:r w:rsidR="00E2486F">
        <w:rPr>
          <w:rFonts w:ascii="Verdana" w:hAnsi="Verdana"/>
          <w:sz w:val="20"/>
          <w:szCs w:val="16"/>
          <w:lang w:eastAsia="cs-CZ"/>
        </w:rPr>
        <w:t xml:space="preserve">. Výjimkou bylo období post-socialistické transformace a dále pak roky 1998 (-1,4 %), 2012 (-0,8 %) a 2013 (-1,5 %). Do této nevítané řady se nově zcela jistě přidá i rok 2022, ve kterém </w:t>
      </w:r>
      <w:r w:rsidR="00381E65">
        <w:rPr>
          <w:rFonts w:ascii="Verdana" w:hAnsi="Verdana"/>
          <w:sz w:val="20"/>
          <w:szCs w:val="16"/>
          <w:lang w:eastAsia="cs-CZ"/>
        </w:rPr>
        <w:t xml:space="preserve">se </w:t>
      </w:r>
      <w:r w:rsidR="00E2486F" w:rsidRPr="000E2216">
        <w:rPr>
          <w:rFonts w:ascii="Verdana" w:hAnsi="Verdana"/>
          <w:b/>
          <w:sz w:val="20"/>
          <w:szCs w:val="16"/>
          <w:lang w:eastAsia="cs-CZ"/>
        </w:rPr>
        <w:t xml:space="preserve">průměrná česká reálná mzda podle našeho odhadu </w:t>
      </w:r>
      <w:r w:rsidR="00381E65" w:rsidRPr="000E2216">
        <w:rPr>
          <w:rFonts w:ascii="Verdana" w:hAnsi="Verdana"/>
          <w:b/>
          <w:sz w:val="20"/>
          <w:szCs w:val="16"/>
          <w:lang w:eastAsia="cs-CZ"/>
        </w:rPr>
        <w:t>propadne o drtivých 8,3 %</w:t>
      </w:r>
      <w:r w:rsidR="00381E65">
        <w:rPr>
          <w:rFonts w:ascii="Verdana" w:hAnsi="Verdana"/>
          <w:sz w:val="20"/>
          <w:szCs w:val="16"/>
          <w:lang w:eastAsia="cs-CZ"/>
        </w:rPr>
        <w:t>.</w:t>
      </w:r>
      <w:r w:rsidR="00381E65">
        <w:rPr>
          <w:rStyle w:val="Znakapoznpodarou"/>
          <w:rFonts w:ascii="Verdana" w:hAnsi="Verdana"/>
          <w:sz w:val="20"/>
          <w:szCs w:val="16"/>
          <w:lang w:eastAsia="cs-CZ"/>
        </w:rPr>
        <w:footnoteReference w:id="1"/>
      </w:r>
    </w:p>
    <w:p w14:paraId="3162ABBD" w14:textId="7A72BA46" w:rsidR="00715F4D" w:rsidRDefault="00381E65" w:rsidP="002857A3">
      <w:pPr>
        <w:spacing w:line="360" w:lineRule="auto"/>
        <w:jc w:val="both"/>
        <w:rPr>
          <w:rFonts w:ascii="Verdana" w:hAnsi="Verdana"/>
          <w:sz w:val="20"/>
          <w:szCs w:val="16"/>
          <w:lang w:eastAsia="cs-CZ"/>
        </w:rPr>
      </w:pPr>
      <w:r>
        <w:rPr>
          <w:rFonts w:ascii="Verdana" w:hAnsi="Verdana"/>
          <w:sz w:val="20"/>
          <w:szCs w:val="16"/>
          <w:lang w:eastAsia="cs-CZ"/>
        </w:rPr>
        <w:t xml:space="preserve">Hlavní důvody pro výrazný převis spotřebitelské inflace nad růstem mezd jsou podle </w:t>
      </w:r>
      <w:r w:rsidR="000E2216">
        <w:rPr>
          <w:rFonts w:ascii="Verdana" w:hAnsi="Verdana"/>
          <w:sz w:val="20"/>
          <w:szCs w:val="16"/>
          <w:lang w:eastAsia="cs-CZ"/>
        </w:rPr>
        <w:t xml:space="preserve">nás dva. Svou roli sehrála </w:t>
      </w:r>
      <w:r w:rsidR="000E2216" w:rsidRPr="000E2216">
        <w:rPr>
          <w:rFonts w:ascii="Verdana" w:hAnsi="Verdana"/>
          <w:b/>
          <w:sz w:val="20"/>
          <w:szCs w:val="16"/>
          <w:lang w:eastAsia="cs-CZ"/>
        </w:rPr>
        <w:t>rusko-ukrajinská válka</w:t>
      </w:r>
      <w:r w:rsidRPr="000E2216">
        <w:rPr>
          <w:rFonts w:ascii="Verdana" w:hAnsi="Verdana"/>
          <w:b/>
          <w:sz w:val="20"/>
          <w:szCs w:val="16"/>
          <w:lang w:eastAsia="cs-CZ"/>
        </w:rPr>
        <w:t xml:space="preserve"> a z ní vyplývající geopolitický konflikt mezi Západem a samotným Ruskem</w:t>
      </w:r>
      <w:r>
        <w:rPr>
          <w:rFonts w:ascii="Verdana" w:hAnsi="Verdana"/>
          <w:sz w:val="20"/>
          <w:szCs w:val="16"/>
          <w:lang w:eastAsia="cs-CZ"/>
        </w:rPr>
        <w:t xml:space="preserve">. Jedním z jeho důsledků bylo omezení dodávek ruských fosilních paliv do Evropy a následný dramatický růst jejich ceny. Druhou příčinou pak byla </w:t>
      </w:r>
      <w:r w:rsidRPr="000E2216">
        <w:rPr>
          <w:rFonts w:ascii="Verdana" w:hAnsi="Verdana"/>
          <w:b/>
          <w:sz w:val="20"/>
          <w:szCs w:val="16"/>
          <w:lang w:eastAsia="cs-CZ"/>
        </w:rPr>
        <w:t>pandemie onemocnění Covid-19</w:t>
      </w:r>
      <w:r>
        <w:rPr>
          <w:rFonts w:ascii="Verdana" w:hAnsi="Verdana"/>
          <w:sz w:val="20"/>
          <w:szCs w:val="16"/>
          <w:lang w:eastAsia="cs-CZ"/>
        </w:rPr>
        <w:t xml:space="preserve">. Ta způsobila globální </w:t>
      </w:r>
      <w:r w:rsidR="002B3F70">
        <w:rPr>
          <w:rFonts w:ascii="Verdana" w:hAnsi="Verdana"/>
          <w:sz w:val="20"/>
          <w:szCs w:val="16"/>
          <w:lang w:eastAsia="cs-CZ"/>
        </w:rPr>
        <w:t>snížení</w:t>
      </w:r>
      <w:r>
        <w:rPr>
          <w:rFonts w:ascii="Verdana" w:hAnsi="Verdana"/>
          <w:sz w:val="20"/>
          <w:szCs w:val="16"/>
          <w:lang w:eastAsia="cs-CZ"/>
        </w:rPr>
        <w:t xml:space="preserve"> nabídky, když docházelo k omezování výrobních a přepravních kapacit</w:t>
      </w:r>
      <w:r w:rsidR="00715F4D">
        <w:rPr>
          <w:rFonts w:ascii="Verdana" w:hAnsi="Verdana"/>
          <w:sz w:val="20"/>
          <w:szCs w:val="16"/>
          <w:lang w:eastAsia="cs-CZ"/>
        </w:rPr>
        <w:t xml:space="preserve">. Na tuto krizi vlády a centrální banky reagovaly razantním uvolněním hospodářských politik, když obyvatelstvu dopřávaly štědré podpůrné programy a snadný přístup k úvěrům. Tato opatření udržela zvýšenou poptávku, jejíž náraz na omezenou nabídku způsobil </w:t>
      </w:r>
      <w:r w:rsidR="00715F4D" w:rsidRPr="000E2216">
        <w:rPr>
          <w:rFonts w:ascii="Verdana" w:hAnsi="Verdana"/>
          <w:b/>
          <w:sz w:val="20"/>
          <w:szCs w:val="16"/>
          <w:lang w:eastAsia="cs-CZ"/>
        </w:rPr>
        <w:t>všeobecný růst cenové hladiny</w:t>
      </w:r>
      <w:r w:rsidR="00715F4D">
        <w:rPr>
          <w:rFonts w:ascii="Verdana" w:hAnsi="Verdana"/>
          <w:sz w:val="20"/>
          <w:szCs w:val="16"/>
          <w:lang w:eastAsia="cs-CZ"/>
        </w:rPr>
        <w:t xml:space="preserve">. Pokles reálných mezd tudíž zdaleka není </w:t>
      </w:r>
      <w:r w:rsidR="000E2216">
        <w:rPr>
          <w:rFonts w:ascii="Verdana" w:hAnsi="Verdana"/>
          <w:sz w:val="20"/>
          <w:szCs w:val="16"/>
          <w:lang w:eastAsia="cs-CZ"/>
        </w:rPr>
        <w:t xml:space="preserve">jen </w:t>
      </w:r>
      <w:r w:rsidR="00715F4D">
        <w:rPr>
          <w:rFonts w:ascii="Verdana" w:hAnsi="Verdana"/>
          <w:sz w:val="20"/>
          <w:szCs w:val="16"/>
          <w:lang w:eastAsia="cs-CZ"/>
        </w:rPr>
        <w:t xml:space="preserve">českým </w:t>
      </w:r>
      <w:r w:rsidR="00715F4D">
        <w:rPr>
          <w:rFonts w:ascii="Verdana" w:hAnsi="Verdana"/>
          <w:sz w:val="20"/>
          <w:szCs w:val="16"/>
          <w:lang w:eastAsia="cs-CZ"/>
        </w:rPr>
        <w:lastRenderedPageBreak/>
        <w:t>specifikem, jak ukazuje Graf 2. Podle organizace OECD došlo ve třetím čtvrtletí roku 2022 k reálnému zchudnutí v drtivé většině sledovaných zemí, byť právě to české bylo bohužel nejvýraznější (-8,9 %).</w:t>
      </w:r>
    </w:p>
    <w:p w14:paraId="4E5300F7" w14:textId="78F19D76" w:rsidR="00715F4D" w:rsidRDefault="000E2216" w:rsidP="002857A3">
      <w:pPr>
        <w:spacing w:line="360" w:lineRule="auto"/>
        <w:jc w:val="both"/>
        <w:rPr>
          <w:rFonts w:ascii="Verdana" w:hAnsi="Verdana"/>
          <w:sz w:val="20"/>
          <w:szCs w:val="16"/>
          <w:lang w:eastAsia="cs-CZ"/>
        </w:rPr>
      </w:pPr>
      <w:r>
        <w:rPr>
          <w:rFonts w:ascii="Verdana" w:hAnsi="Verdana"/>
          <w:noProof/>
          <w:sz w:val="20"/>
          <w:szCs w:val="16"/>
          <w:lang w:eastAsia="cs-CZ"/>
        </w:rPr>
        <mc:AlternateContent>
          <mc:Choice Requires="wpg">
            <w:drawing>
              <wp:anchor distT="0" distB="0" distL="114300" distR="114300" simplePos="0" relativeHeight="251667456" behindDoc="0" locked="0" layoutInCell="1" allowOverlap="1" wp14:anchorId="0C6B3D9D" wp14:editId="23A18444">
                <wp:simplePos x="0" y="0"/>
                <wp:positionH relativeFrom="column">
                  <wp:align>right</wp:align>
                </wp:positionH>
                <wp:positionV relativeFrom="paragraph">
                  <wp:posOffset>181</wp:posOffset>
                </wp:positionV>
                <wp:extent cx="3098165" cy="2332355"/>
                <wp:effectExtent l="0" t="0" r="6985" b="0"/>
                <wp:wrapTopAndBottom/>
                <wp:docPr id="10" name="Skupina 10"/>
                <wp:cNvGraphicFramePr/>
                <a:graphic xmlns:a="http://schemas.openxmlformats.org/drawingml/2006/main">
                  <a:graphicData uri="http://schemas.microsoft.com/office/word/2010/wordprocessingGroup">
                    <wpg:wgp>
                      <wpg:cNvGrpSpPr/>
                      <wpg:grpSpPr>
                        <a:xfrm>
                          <a:off x="0" y="0"/>
                          <a:ext cx="3098165" cy="2332355"/>
                          <a:chOff x="0" y="0"/>
                          <a:chExt cx="3098165" cy="2332355"/>
                        </a:xfrm>
                      </wpg:grpSpPr>
                      <wps:wsp>
                        <wps:cNvPr id="6" name="Textové pole 6"/>
                        <wps:cNvSpPr txBox="1">
                          <a:spLocks noChangeArrowheads="1"/>
                        </wps:cNvSpPr>
                        <wps:spPr bwMode="auto">
                          <a:xfrm>
                            <a:off x="0" y="0"/>
                            <a:ext cx="3098165" cy="231140"/>
                          </a:xfrm>
                          <a:prstGeom prst="rect">
                            <a:avLst/>
                          </a:prstGeom>
                          <a:gradFill flip="none" rotWithShape="1">
                            <a:gsLst>
                              <a:gs pos="0">
                                <a:srgbClr val="FFC832"/>
                              </a:gs>
                              <a:gs pos="100000">
                                <a:srgbClr val="FFD82C">
                                  <a:alpha val="15000"/>
                                </a:srgbClr>
                              </a:gs>
                            </a:gsLst>
                            <a:lin ang="18900000" scaled="1"/>
                            <a:tileRect/>
                          </a:gradFill>
                          <a:ln w="9525">
                            <a:noFill/>
                            <a:miter lim="800000"/>
                            <a:headEnd/>
                            <a:tailEnd/>
                          </a:ln>
                        </wps:spPr>
                        <wps:txbx>
                          <w:txbxContent>
                            <w:p w14:paraId="52B4A8EF" w14:textId="4A1FD73D" w:rsidR="00417717" w:rsidRPr="004874EA" w:rsidRDefault="00417717" w:rsidP="00417717">
                              <w:pPr>
                                <w:spacing w:after="0" w:line="240" w:lineRule="auto"/>
                                <w:rPr>
                                  <w:rFonts w:ascii="Verdana" w:hAnsi="Verdana"/>
                                  <w:sz w:val="16"/>
                                </w:rPr>
                              </w:pPr>
                              <w:r>
                                <w:rPr>
                                  <w:rFonts w:ascii="Verdana" w:hAnsi="Verdana"/>
                                  <w:sz w:val="16"/>
                                </w:rPr>
                                <w:t>Graf 2: Reálné mzdy v zemích OECD, 3Q2022 (r/r v %)</w:t>
                              </w:r>
                            </w:p>
                          </w:txbxContent>
                        </wps:txbx>
                        <wps:bodyPr rot="0" vert="horz" wrap="square" lIns="91440" tIns="45720" rIns="91440" bIns="45720" anchor="ctr" anchorCtr="0">
                          <a:noAutofit/>
                        </wps:bodyPr>
                      </wps:wsp>
                      <wpg:graphicFrame>
                        <wpg:cNvPr id="2" name="Graf 2"/>
                        <wpg:cNvFrPr/>
                        <wpg:xfrm>
                          <a:off x="0" y="234043"/>
                          <a:ext cx="3098165" cy="1858645"/>
                        </wpg:xfrm>
                        <a:graphic>
                          <a:graphicData uri="http://schemas.openxmlformats.org/drawingml/2006/chart">
                            <c:chart xmlns:c="http://schemas.openxmlformats.org/drawingml/2006/chart" xmlns:r="http://schemas.openxmlformats.org/officeDocument/2006/relationships" r:id="rId10"/>
                          </a:graphicData>
                        </a:graphic>
                      </wpg:graphicFrame>
                      <wps:wsp>
                        <wps:cNvPr id="9" name="Textové pole 2"/>
                        <wps:cNvSpPr txBox="1">
                          <a:spLocks noChangeArrowheads="1"/>
                        </wps:cNvSpPr>
                        <wps:spPr bwMode="auto">
                          <a:xfrm>
                            <a:off x="0" y="2095500"/>
                            <a:ext cx="3091815" cy="236855"/>
                          </a:xfrm>
                          <a:prstGeom prst="rect">
                            <a:avLst/>
                          </a:prstGeom>
                          <a:solidFill>
                            <a:srgbClr val="FFFFFF"/>
                          </a:solidFill>
                          <a:ln w="9525">
                            <a:noFill/>
                            <a:miter lim="800000"/>
                            <a:headEnd/>
                            <a:tailEnd/>
                          </a:ln>
                        </wps:spPr>
                        <wps:txbx>
                          <w:txbxContent>
                            <w:p w14:paraId="302018F5" w14:textId="0C3CFF48" w:rsidR="00417717" w:rsidRPr="004874EA" w:rsidRDefault="00417717" w:rsidP="00417717">
                              <w:pPr>
                                <w:rPr>
                                  <w:rFonts w:ascii="Verdana" w:hAnsi="Verdana"/>
                                  <w:sz w:val="12"/>
                                </w:rPr>
                              </w:pPr>
                              <w:r w:rsidRPr="004874EA">
                                <w:rPr>
                                  <w:rFonts w:ascii="Verdana" w:hAnsi="Verdana"/>
                                  <w:sz w:val="12"/>
                                </w:rPr>
                                <w:t xml:space="preserve">Zdroj: </w:t>
                              </w:r>
                              <w:r>
                                <w:rPr>
                                  <w:rFonts w:ascii="Verdana" w:hAnsi="Verdana"/>
                                  <w:sz w:val="12"/>
                                </w:rPr>
                                <w:t>OECD, CYRRUS</w:t>
                              </w:r>
                            </w:p>
                          </w:txbxContent>
                        </wps:txbx>
                        <wps:bodyPr rot="0" vert="horz" wrap="square" lIns="91440" tIns="45720" rIns="91440" bIns="45720" anchor="t" anchorCtr="0">
                          <a:noAutofit/>
                        </wps:bodyPr>
                      </wps:wsp>
                    </wpg:wgp>
                  </a:graphicData>
                </a:graphic>
              </wp:anchor>
            </w:drawing>
          </mc:Choice>
          <mc:Fallback>
            <w:pict>
              <v:group w14:anchorId="0C6B3D9D" id="Skupina 10" o:spid="_x0000_s1032" style="position:absolute;left:0;text-align:left;margin-left:192.75pt;margin-top:0;width:243.95pt;height:183.65pt;z-index:251667456;mso-position-horizontal:right" coordsize="30981,23323"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">
                <v:shape id="Textové pole 6" o:spid="_x0000_s1033" type="#_x0000_t202" style="position:absolute;width:30981;height:2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" fillcolor="#ffc832" stroked="f">
                  <v:fill color2="#ffd82c" o:opacity2="9830f" rotate="t" angle="135" focus="100%" type="gradient"/>
                  <v:textbox>
                    <w:txbxContent>
                      <w:p w14:paraId="52B4A8EF" w14:textId="4A1FD73D" w:rsidR="00417717" w:rsidRPr="004874EA" w:rsidRDefault="00417717" w:rsidP="00417717">
                        <w:pPr>
                          <w:spacing w:after="0" w:line="240" w:lineRule="auto"/>
                          <w:rPr>
                            <w:rFonts w:ascii="Verdana" w:hAnsi="Verdana"/>
                            <w:sz w:val="16"/>
                          </w:rPr>
                        </w:pPr>
                        <w:r>
                          <w:rPr>
                            <w:rFonts w:ascii="Verdana" w:hAnsi="Verdana"/>
                            <w:sz w:val="16"/>
                          </w:rPr>
                          <w:t>Graf 2: Reálné mzdy v zemích OECD, 3Q2022 (r/r v %)</w:t>
                        </w:r>
                      </w:p>
                    </w:txbxContent>
                  </v:textbox>
                </v:shape>
                <v:shape id="Graf 2" o:spid="_x0000_s1034" type="#_x0000_t75" style="position:absolute;top:2316;width:30967;height:185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">
                  <v:imagedata r:id="rId11" o:title=""/>
                  <o:lock v:ext="edit" aspectratio="f"/>
                </v:shape>
                <v:shape id="_x0000_s1035" type="#_x0000_t202" style="position:absolute;top:20955;width:30918;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302018F5" w14:textId="0C3CFF48" w:rsidR="00417717" w:rsidRPr="004874EA" w:rsidRDefault="00417717" w:rsidP="00417717">
                        <w:pPr>
                          <w:rPr>
                            <w:rFonts w:ascii="Verdana" w:hAnsi="Verdana"/>
                            <w:sz w:val="12"/>
                          </w:rPr>
                        </w:pPr>
                        <w:r w:rsidRPr="004874EA">
                          <w:rPr>
                            <w:rFonts w:ascii="Verdana" w:hAnsi="Verdana"/>
                            <w:sz w:val="12"/>
                          </w:rPr>
                          <w:t xml:space="preserve">Zdroj: </w:t>
                        </w:r>
                        <w:r>
                          <w:rPr>
                            <w:rFonts w:ascii="Verdana" w:hAnsi="Verdana"/>
                            <w:sz w:val="12"/>
                          </w:rPr>
                          <w:t>OECD, CYRRUS</w:t>
                        </w:r>
                      </w:p>
                    </w:txbxContent>
                  </v:textbox>
                </v:shape>
                <w10:wrap type="topAndBottom"/>
              </v:group>
            </w:pict>
          </mc:Fallback>
        </mc:AlternateContent>
      </w:r>
      <w:r w:rsidR="00715F4D">
        <w:rPr>
          <w:rFonts w:ascii="Verdana" w:hAnsi="Verdana"/>
          <w:sz w:val="20"/>
          <w:szCs w:val="16"/>
          <w:lang w:eastAsia="cs-CZ"/>
        </w:rPr>
        <w:t xml:space="preserve">Jak z pohledu historie Česka, tak i z mezinárodního srovnání </w:t>
      </w:r>
      <w:r w:rsidR="002B3F70">
        <w:rPr>
          <w:rFonts w:ascii="Verdana" w:hAnsi="Verdana"/>
          <w:sz w:val="20"/>
          <w:szCs w:val="16"/>
          <w:lang w:eastAsia="cs-CZ"/>
        </w:rPr>
        <w:t>tedy</w:t>
      </w:r>
      <w:r w:rsidR="00715F4D">
        <w:rPr>
          <w:rFonts w:ascii="Verdana" w:hAnsi="Verdana"/>
          <w:sz w:val="20"/>
          <w:szCs w:val="16"/>
          <w:lang w:eastAsia="cs-CZ"/>
        </w:rPr>
        <w:t xml:space="preserve"> vyplývá, </w:t>
      </w:r>
      <w:r w:rsidR="00715F4D" w:rsidRPr="000E2216">
        <w:rPr>
          <w:rFonts w:ascii="Verdana" w:hAnsi="Verdana"/>
          <w:b/>
          <w:sz w:val="20"/>
          <w:szCs w:val="16"/>
          <w:lang w:eastAsia="cs-CZ"/>
        </w:rPr>
        <w:t>že se rok 2022 v tuzemsku zapíše skutečně mimořádným skokovým poklesem reálné mzdy</w:t>
      </w:r>
      <w:r w:rsidR="00715F4D">
        <w:rPr>
          <w:rFonts w:ascii="Verdana" w:hAnsi="Verdana"/>
          <w:sz w:val="20"/>
          <w:szCs w:val="16"/>
          <w:lang w:eastAsia="cs-CZ"/>
        </w:rPr>
        <w:t>.</w:t>
      </w:r>
      <w:r w:rsidR="002B3AA3">
        <w:rPr>
          <w:rFonts w:ascii="Verdana" w:hAnsi="Verdana"/>
          <w:sz w:val="20"/>
          <w:szCs w:val="16"/>
          <w:lang w:eastAsia="cs-CZ"/>
        </w:rPr>
        <w:t xml:space="preserve"> Objem mzdových prostředků, který by čeští zaměstnanci v roce 2022 museli dostat navíc, aby si zachovali životní úroveň z roku 2021, </w:t>
      </w:r>
      <w:r w:rsidR="002B3AA3" w:rsidRPr="000E2216">
        <w:rPr>
          <w:rFonts w:ascii="Verdana" w:hAnsi="Verdana"/>
          <w:b/>
          <w:sz w:val="20"/>
          <w:szCs w:val="16"/>
          <w:lang w:eastAsia="cs-CZ"/>
        </w:rPr>
        <w:t>dosahuje přibližně 170 mld. Kč</w:t>
      </w:r>
      <w:r w:rsidR="002B3AA3">
        <w:rPr>
          <w:rFonts w:ascii="Verdana" w:hAnsi="Verdana"/>
          <w:sz w:val="20"/>
          <w:szCs w:val="16"/>
          <w:lang w:eastAsia="cs-CZ"/>
        </w:rPr>
        <w:t xml:space="preserve">. </w:t>
      </w:r>
      <w:r w:rsidR="002B3AA3" w:rsidRPr="000E2216">
        <w:rPr>
          <w:rFonts w:ascii="Verdana" w:hAnsi="Verdana"/>
          <w:b/>
          <w:sz w:val="20"/>
          <w:szCs w:val="16"/>
          <w:lang w:eastAsia="cs-CZ"/>
        </w:rPr>
        <w:t>Právě o tolik se tedy letos budeme muset „uskromnit“</w:t>
      </w:r>
      <w:r w:rsidR="002B3AA3">
        <w:rPr>
          <w:rFonts w:ascii="Verdana" w:hAnsi="Verdana"/>
          <w:sz w:val="20"/>
          <w:szCs w:val="16"/>
          <w:lang w:eastAsia="cs-CZ"/>
        </w:rPr>
        <w:t xml:space="preserve">. Průměrnému českému zaměstnanci, který pracuje na plný úvazek, tak za celý rok 2022 </w:t>
      </w:r>
      <w:r w:rsidR="002B3AA3" w:rsidRPr="000E2216">
        <w:rPr>
          <w:rFonts w:ascii="Verdana" w:hAnsi="Verdana"/>
          <w:b/>
          <w:sz w:val="20"/>
          <w:szCs w:val="16"/>
          <w:lang w:eastAsia="cs-CZ"/>
        </w:rPr>
        <w:t>bude k dosažení předchozího životního standardu scházet přibližně 40 tisíc korun, tedy asi 3300 K</w:t>
      </w:r>
      <w:r w:rsidR="00A90E95" w:rsidRPr="000E2216">
        <w:rPr>
          <w:rFonts w:ascii="Verdana" w:hAnsi="Verdana"/>
          <w:b/>
          <w:sz w:val="20"/>
          <w:szCs w:val="16"/>
          <w:lang w:eastAsia="cs-CZ"/>
        </w:rPr>
        <w:t>č měsíčně</w:t>
      </w:r>
      <w:r w:rsidR="00A90E95">
        <w:rPr>
          <w:rFonts w:ascii="Verdana" w:hAnsi="Verdana"/>
          <w:sz w:val="20"/>
          <w:szCs w:val="16"/>
          <w:lang w:eastAsia="cs-CZ"/>
        </w:rPr>
        <w:t xml:space="preserve">. Jeho </w:t>
      </w:r>
      <w:r>
        <w:rPr>
          <w:rFonts w:ascii="Verdana" w:hAnsi="Verdana"/>
          <w:sz w:val="20"/>
          <w:szCs w:val="16"/>
          <w:lang w:eastAsia="cs-CZ"/>
        </w:rPr>
        <w:t>reálná kupní síla</w:t>
      </w:r>
      <w:r w:rsidR="00A90E95">
        <w:rPr>
          <w:rFonts w:ascii="Verdana" w:hAnsi="Verdana"/>
          <w:sz w:val="20"/>
          <w:szCs w:val="16"/>
          <w:lang w:eastAsia="cs-CZ"/>
        </w:rPr>
        <w:t xml:space="preserve"> se tak </w:t>
      </w:r>
      <w:r w:rsidR="00A90E95" w:rsidRPr="000E2216">
        <w:rPr>
          <w:rFonts w:ascii="Verdana" w:hAnsi="Verdana"/>
          <w:b/>
          <w:sz w:val="20"/>
          <w:szCs w:val="16"/>
          <w:lang w:eastAsia="cs-CZ"/>
        </w:rPr>
        <w:t>vrátí zpět v čase přibližně do roku 2018</w:t>
      </w:r>
      <w:r w:rsidR="00A90E95">
        <w:rPr>
          <w:rFonts w:ascii="Verdana" w:hAnsi="Verdana"/>
          <w:sz w:val="20"/>
          <w:szCs w:val="16"/>
          <w:lang w:eastAsia="cs-CZ"/>
        </w:rPr>
        <w:t>.</w:t>
      </w:r>
    </w:p>
    <w:p w14:paraId="61710995" w14:textId="5ED6504F" w:rsidR="002B3AA3" w:rsidRPr="009C5A9F" w:rsidRDefault="002B3AA3" w:rsidP="002B3AA3">
      <w:pPr>
        <w:pStyle w:val="Nadpis3"/>
        <w:spacing w:before="120" w:after="160" w:line="240" w:lineRule="auto"/>
        <w:rPr>
          <w:rFonts w:ascii="Verdana" w:hAnsi="Verdana"/>
          <w:b/>
        </w:rPr>
      </w:pPr>
      <w:r>
        <w:rPr>
          <w:rFonts w:ascii="Verdana" w:hAnsi="Verdana"/>
          <w:b/>
          <w:sz w:val="22"/>
        </w:rPr>
        <w:t>Vliv na reálný život</w:t>
      </w:r>
    </w:p>
    <w:p w14:paraId="246E443F" w14:textId="6B5CA8EC" w:rsidR="002B3AA3" w:rsidRDefault="002B3AA3" w:rsidP="002B3AA3">
      <w:pPr>
        <w:spacing w:line="360" w:lineRule="auto"/>
        <w:jc w:val="both"/>
        <w:rPr>
          <w:rFonts w:ascii="Verdana" w:hAnsi="Verdana"/>
          <w:sz w:val="20"/>
          <w:szCs w:val="16"/>
          <w:lang w:eastAsia="cs-CZ"/>
        </w:rPr>
      </w:pPr>
      <w:r>
        <w:rPr>
          <w:rFonts w:ascii="Verdana" w:hAnsi="Verdana"/>
          <w:sz w:val="20"/>
          <w:szCs w:val="16"/>
          <w:lang w:eastAsia="cs-CZ"/>
        </w:rPr>
        <w:t>Makroekonomické veličiny, jako je růst průměrné mzdy</w:t>
      </w:r>
      <w:r w:rsidR="001D211F">
        <w:rPr>
          <w:rFonts w:ascii="Verdana" w:hAnsi="Verdana"/>
          <w:sz w:val="20"/>
          <w:szCs w:val="16"/>
          <w:lang w:eastAsia="cs-CZ"/>
        </w:rPr>
        <w:t>, HDP</w:t>
      </w:r>
      <w:r>
        <w:rPr>
          <w:rFonts w:ascii="Verdana" w:hAnsi="Verdana"/>
          <w:sz w:val="20"/>
          <w:szCs w:val="16"/>
          <w:lang w:eastAsia="cs-CZ"/>
        </w:rPr>
        <w:t xml:space="preserve"> či celonárodní inflace, poskytují nejrelevantnější pohled na vývoj </w:t>
      </w:r>
      <w:r>
        <w:rPr>
          <w:rFonts w:ascii="Verdana" w:hAnsi="Verdana"/>
          <w:sz w:val="20"/>
          <w:szCs w:val="16"/>
          <w:lang w:eastAsia="cs-CZ"/>
        </w:rPr>
        <w:t xml:space="preserve">celého národního hospodářství. </w:t>
      </w:r>
      <w:r w:rsidR="00A90E95">
        <w:rPr>
          <w:rFonts w:ascii="Verdana" w:hAnsi="Verdana"/>
          <w:sz w:val="20"/>
          <w:szCs w:val="16"/>
          <w:lang w:eastAsia="cs-CZ"/>
        </w:rPr>
        <w:t xml:space="preserve">Obvykle se ovšem nezabývají specifickými aspekty života konkrétních občanů a zůstávají tak poněkud </w:t>
      </w:r>
      <w:r w:rsidR="00A90E95" w:rsidRPr="000E2216">
        <w:rPr>
          <w:rFonts w:ascii="Verdana" w:hAnsi="Verdana"/>
          <w:b/>
          <w:sz w:val="20"/>
          <w:szCs w:val="16"/>
          <w:lang w:eastAsia="cs-CZ"/>
        </w:rPr>
        <w:t>vzdálenými akademickými statistikami, pod kterými si lze obtížně cokoliv reálného představit</w:t>
      </w:r>
      <w:r w:rsidR="00A90E95">
        <w:rPr>
          <w:rFonts w:ascii="Verdana" w:hAnsi="Verdana"/>
          <w:sz w:val="20"/>
          <w:szCs w:val="16"/>
          <w:lang w:eastAsia="cs-CZ"/>
        </w:rPr>
        <w:t>.</w:t>
      </w:r>
    </w:p>
    <w:p w14:paraId="163F0088" w14:textId="637F4F8D" w:rsidR="001D211F" w:rsidRDefault="00A90E95" w:rsidP="002B3AA3">
      <w:pPr>
        <w:spacing w:line="360" w:lineRule="auto"/>
        <w:jc w:val="both"/>
        <w:rPr>
          <w:rFonts w:ascii="Verdana" w:hAnsi="Verdana"/>
          <w:sz w:val="20"/>
          <w:szCs w:val="16"/>
          <w:lang w:eastAsia="cs-CZ"/>
        </w:rPr>
      </w:pPr>
      <w:r>
        <w:rPr>
          <w:rFonts w:ascii="Verdana" w:hAnsi="Verdana"/>
          <w:sz w:val="20"/>
          <w:szCs w:val="16"/>
          <w:lang w:eastAsia="cs-CZ"/>
        </w:rPr>
        <w:t xml:space="preserve">Opačným extrémem pak jsou osobní zkušenosti jednotlivých lidí, které sice mohou postihovat jejich životní situaci velice konkrétně, ovšem bývají zkresleny dalšími osobními specifiky a nelze je tak jednoznačně dávat do přímé souvislosti s makroekonomickým vývojem země. Příkladem budiž například medializované výpovědi některých občanů, kteří hovoří o úvahách o sebevraždě </w:t>
      </w:r>
      <w:r w:rsidR="001D211F">
        <w:rPr>
          <w:rFonts w:ascii="Verdana" w:hAnsi="Verdana"/>
          <w:sz w:val="20"/>
          <w:szCs w:val="16"/>
          <w:lang w:eastAsia="cs-CZ"/>
        </w:rPr>
        <w:t>pod tíhou</w:t>
      </w:r>
      <w:r>
        <w:rPr>
          <w:rFonts w:ascii="Verdana" w:hAnsi="Verdana"/>
          <w:sz w:val="20"/>
          <w:szCs w:val="16"/>
          <w:lang w:eastAsia="cs-CZ"/>
        </w:rPr>
        <w:t xml:space="preserve"> vlastní neúnosné finanční situace.</w:t>
      </w:r>
      <w:r>
        <w:rPr>
          <w:rStyle w:val="Znakapoznpodarou"/>
          <w:rFonts w:ascii="Verdana" w:hAnsi="Verdana"/>
          <w:sz w:val="20"/>
          <w:szCs w:val="16"/>
          <w:lang w:eastAsia="cs-CZ"/>
        </w:rPr>
        <w:footnoteReference w:id="2"/>
      </w:r>
      <w:r>
        <w:rPr>
          <w:rFonts w:ascii="Verdana" w:hAnsi="Verdana"/>
          <w:sz w:val="20"/>
          <w:szCs w:val="16"/>
          <w:lang w:eastAsia="cs-CZ"/>
        </w:rPr>
        <w:t xml:space="preserve"> Jakkoliv mohou tato dramatická svědectví být výmluvná, nelze je dost dobře zobecňovat na celou společnost, jelikož </w:t>
      </w:r>
      <w:r w:rsidR="002B3F70">
        <w:rPr>
          <w:rFonts w:ascii="Verdana" w:hAnsi="Verdana"/>
          <w:sz w:val="20"/>
          <w:szCs w:val="16"/>
          <w:lang w:eastAsia="cs-CZ"/>
        </w:rPr>
        <w:t xml:space="preserve">vždy </w:t>
      </w:r>
      <w:r w:rsidRPr="000E2216">
        <w:rPr>
          <w:rFonts w:ascii="Verdana" w:hAnsi="Verdana"/>
          <w:b/>
          <w:sz w:val="20"/>
          <w:szCs w:val="16"/>
          <w:lang w:eastAsia="cs-CZ"/>
        </w:rPr>
        <w:t>mají svůj specifický nepřenositelný osobní kontext</w:t>
      </w:r>
      <w:r>
        <w:rPr>
          <w:rFonts w:ascii="Verdana" w:hAnsi="Verdana"/>
          <w:sz w:val="20"/>
          <w:szCs w:val="16"/>
          <w:lang w:eastAsia="cs-CZ"/>
        </w:rPr>
        <w:t>.</w:t>
      </w:r>
    </w:p>
    <w:p w14:paraId="04F63113" w14:textId="4CCAA564" w:rsidR="001D211F" w:rsidRDefault="001D211F" w:rsidP="002B3AA3">
      <w:pPr>
        <w:spacing w:line="360" w:lineRule="auto"/>
        <w:jc w:val="both"/>
        <w:rPr>
          <w:rFonts w:ascii="Verdana" w:hAnsi="Verdana"/>
          <w:sz w:val="20"/>
          <w:szCs w:val="16"/>
          <w:lang w:eastAsia="cs-CZ"/>
        </w:rPr>
      </w:pPr>
      <w:r>
        <w:rPr>
          <w:rFonts w:ascii="Verdana" w:hAnsi="Verdana"/>
          <w:sz w:val="20"/>
          <w:szCs w:val="16"/>
          <w:lang w:eastAsia="cs-CZ"/>
        </w:rPr>
        <w:t xml:space="preserve">Ambicí této analýzy je určité přemostění obou těchto přístupů. </w:t>
      </w:r>
      <w:r w:rsidRPr="000E2216">
        <w:rPr>
          <w:rFonts w:ascii="Verdana" w:hAnsi="Verdana"/>
          <w:b/>
          <w:sz w:val="20"/>
          <w:szCs w:val="16"/>
          <w:lang w:eastAsia="cs-CZ"/>
        </w:rPr>
        <w:t>Zůstává sice na makroekonomické úrovni a snaží se tedy odhadnout vliv skokového poklesu reálných příjmů na celou společnost, ovšem dává jej do souvislosti s aspekty skutečného života</w:t>
      </w:r>
      <w:r>
        <w:rPr>
          <w:rFonts w:ascii="Verdana" w:hAnsi="Verdana"/>
          <w:sz w:val="20"/>
          <w:szCs w:val="16"/>
          <w:lang w:eastAsia="cs-CZ"/>
        </w:rPr>
        <w:t>, které si lze snáze představit v reálném světě.</w:t>
      </w:r>
    </w:p>
    <w:p w14:paraId="3B6B2E83" w14:textId="03F4D0C3" w:rsidR="001D211F" w:rsidRPr="009C5A9F" w:rsidRDefault="001D211F" w:rsidP="001D211F">
      <w:pPr>
        <w:pStyle w:val="Nadpis3"/>
        <w:spacing w:before="120" w:after="160" w:line="240" w:lineRule="auto"/>
        <w:rPr>
          <w:rFonts w:ascii="Verdana" w:hAnsi="Verdana"/>
          <w:b/>
        </w:rPr>
      </w:pPr>
      <w:r>
        <w:rPr>
          <w:rFonts w:ascii="Verdana" w:hAnsi="Verdana"/>
          <w:b/>
          <w:sz w:val="22"/>
        </w:rPr>
        <w:t>Metodologický přístup</w:t>
      </w:r>
    </w:p>
    <w:p w14:paraId="1ED03153" w14:textId="00DB0568" w:rsidR="00715F4D" w:rsidRDefault="001D211F" w:rsidP="001D211F">
      <w:pPr>
        <w:spacing w:line="360" w:lineRule="auto"/>
        <w:jc w:val="both"/>
        <w:rPr>
          <w:rFonts w:ascii="Verdana" w:hAnsi="Verdana"/>
          <w:sz w:val="20"/>
          <w:szCs w:val="16"/>
          <w:lang w:eastAsia="cs-CZ"/>
        </w:rPr>
      </w:pPr>
      <w:r>
        <w:rPr>
          <w:rFonts w:ascii="Verdana" w:hAnsi="Verdana"/>
          <w:sz w:val="20"/>
          <w:szCs w:val="16"/>
          <w:lang w:eastAsia="cs-CZ"/>
        </w:rPr>
        <w:t xml:space="preserve">Ekonometrie, tedy vědecká disciplína zaměřená na statistické vyhodnocení ekonomických procesů, pro podobné účely nabízí několik nástrojů, přičemž každý z nich má své klady a zápory. </w:t>
      </w:r>
      <w:r w:rsidRPr="000E2216">
        <w:rPr>
          <w:rFonts w:ascii="Verdana" w:hAnsi="Verdana"/>
          <w:b/>
          <w:sz w:val="20"/>
          <w:szCs w:val="16"/>
          <w:lang w:eastAsia="cs-CZ"/>
        </w:rPr>
        <w:t xml:space="preserve">My v této analýze </w:t>
      </w:r>
      <w:r w:rsidR="004C5C4B" w:rsidRPr="000E2216">
        <w:rPr>
          <w:rFonts w:ascii="Verdana" w:hAnsi="Verdana"/>
          <w:b/>
          <w:sz w:val="20"/>
          <w:szCs w:val="16"/>
          <w:lang w:eastAsia="cs-CZ"/>
        </w:rPr>
        <w:t>volíme</w:t>
      </w:r>
      <w:r w:rsidRPr="000E2216">
        <w:rPr>
          <w:rFonts w:ascii="Verdana" w:hAnsi="Verdana"/>
          <w:b/>
          <w:sz w:val="20"/>
          <w:szCs w:val="16"/>
          <w:lang w:eastAsia="cs-CZ"/>
        </w:rPr>
        <w:t xml:space="preserve"> techniku známou jako „</w:t>
      </w:r>
      <w:proofErr w:type="spellStart"/>
      <w:r w:rsidRPr="000E2216">
        <w:rPr>
          <w:rFonts w:ascii="Verdana" w:hAnsi="Verdana"/>
          <w:b/>
          <w:sz w:val="20"/>
          <w:szCs w:val="16"/>
          <w:lang w:eastAsia="cs-CZ"/>
        </w:rPr>
        <w:t>Fixed</w:t>
      </w:r>
      <w:proofErr w:type="spellEnd"/>
      <w:r w:rsidRPr="000E2216">
        <w:rPr>
          <w:rFonts w:ascii="Verdana" w:hAnsi="Verdana"/>
          <w:b/>
          <w:sz w:val="20"/>
          <w:szCs w:val="16"/>
          <w:lang w:eastAsia="cs-CZ"/>
        </w:rPr>
        <w:t xml:space="preserve"> </w:t>
      </w:r>
      <w:proofErr w:type="spellStart"/>
      <w:r w:rsidRPr="000E2216">
        <w:rPr>
          <w:rFonts w:ascii="Verdana" w:hAnsi="Verdana"/>
          <w:b/>
          <w:sz w:val="20"/>
          <w:szCs w:val="16"/>
          <w:lang w:eastAsia="cs-CZ"/>
        </w:rPr>
        <w:t>Effect</w:t>
      </w:r>
      <w:proofErr w:type="spellEnd"/>
      <w:r w:rsidRPr="000E2216">
        <w:rPr>
          <w:rFonts w:ascii="Verdana" w:hAnsi="Verdana"/>
          <w:b/>
          <w:sz w:val="20"/>
          <w:szCs w:val="16"/>
          <w:lang w:eastAsia="cs-CZ"/>
        </w:rPr>
        <w:t xml:space="preserve"> Model“</w:t>
      </w:r>
      <w:r>
        <w:rPr>
          <w:rFonts w:ascii="Verdana" w:hAnsi="Verdana"/>
          <w:sz w:val="20"/>
          <w:szCs w:val="16"/>
          <w:lang w:eastAsia="cs-CZ"/>
        </w:rPr>
        <w:t>.</w:t>
      </w:r>
    </w:p>
    <w:p w14:paraId="64B99F14" w14:textId="2B2A0D2A" w:rsidR="001D211F" w:rsidRDefault="001D211F" w:rsidP="001D211F">
      <w:pPr>
        <w:spacing w:line="360" w:lineRule="auto"/>
        <w:jc w:val="both"/>
        <w:rPr>
          <w:rFonts w:ascii="Verdana" w:hAnsi="Verdana"/>
          <w:sz w:val="20"/>
          <w:szCs w:val="16"/>
          <w:lang w:eastAsia="cs-CZ"/>
        </w:rPr>
      </w:pPr>
      <w:r>
        <w:rPr>
          <w:rFonts w:ascii="Verdana" w:hAnsi="Verdana"/>
          <w:sz w:val="20"/>
          <w:szCs w:val="16"/>
          <w:lang w:eastAsia="cs-CZ"/>
        </w:rPr>
        <w:lastRenderedPageBreak/>
        <w:t>Tento model využívá panelová data, což znamená, že sleduje sadu stále stejných pozorovaných subjektů – v našem případě států Evropské unie – napříč časem. Jeho hlavní výhoda spočívá v tom, že poměrně dobře dokáže vzít v </w:t>
      </w:r>
      <w:r w:rsidR="0018494C">
        <w:rPr>
          <w:rFonts w:ascii="Verdana" w:hAnsi="Verdana"/>
          <w:sz w:val="20"/>
          <w:szCs w:val="16"/>
          <w:lang w:eastAsia="cs-CZ"/>
        </w:rPr>
        <w:t>patrnost</w:t>
      </w:r>
      <w:r>
        <w:rPr>
          <w:rFonts w:ascii="Verdana" w:hAnsi="Verdana"/>
          <w:sz w:val="20"/>
          <w:szCs w:val="16"/>
          <w:lang w:eastAsia="cs-CZ"/>
        </w:rPr>
        <w:t>, že se jednotlivé státy EU od sebe odlišují v mnoha různých ohledech a zároveň že celé evropské společenství prochází v jednotlivých letech vývojem, který je všem členským zemím do určitě míry společný. Zjednodušeně řečeno tak tento model nepodléhá standardnímu zkreslení, kdy</w:t>
      </w:r>
      <w:r w:rsidR="0018494C">
        <w:rPr>
          <w:rFonts w:ascii="Verdana" w:hAnsi="Verdana"/>
          <w:sz w:val="20"/>
          <w:szCs w:val="16"/>
          <w:lang w:eastAsia="cs-CZ"/>
        </w:rPr>
        <w:t>ž</w:t>
      </w:r>
      <w:r>
        <w:rPr>
          <w:rFonts w:ascii="Verdana" w:hAnsi="Verdana"/>
          <w:sz w:val="20"/>
          <w:szCs w:val="16"/>
          <w:lang w:eastAsia="cs-CZ"/>
        </w:rPr>
        <w:t xml:space="preserve"> </w:t>
      </w:r>
      <w:r w:rsidRPr="000E2216">
        <w:rPr>
          <w:rFonts w:ascii="Verdana" w:hAnsi="Verdana"/>
          <w:b/>
          <w:sz w:val="20"/>
          <w:szCs w:val="16"/>
          <w:lang w:eastAsia="cs-CZ"/>
        </w:rPr>
        <w:t>nezaměňuje pouhou korelaci za kauzalitu</w:t>
      </w:r>
      <w:r>
        <w:rPr>
          <w:rFonts w:ascii="Verdana" w:hAnsi="Verdana"/>
          <w:sz w:val="20"/>
          <w:szCs w:val="16"/>
          <w:lang w:eastAsia="cs-CZ"/>
        </w:rPr>
        <w:t xml:space="preserve">. </w:t>
      </w:r>
      <w:r w:rsidR="0018494C">
        <w:rPr>
          <w:rFonts w:ascii="Verdana" w:hAnsi="Verdana"/>
          <w:sz w:val="20"/>
          <w:szCs w:val="16"/>
          <w:lang w:eastAsia="cs-CZ"/>
        </w:rPr>
        <w:t xml:space="preserve">Snaží se tedy postihnout skutečný dopad změn sledované proměnné – v našem případě poklesu reálných mezd – na </w:t>
      </w:r>
      <w:r w:rsidR="000E2216">
        <w:rPr>
          <w:rFonts w:ascii="Verdana" w:hAnsi="Verdana"/>
          <w:sz w:val="20"/>
          <w:szCs w:val="16"/>
          <w:lang w:eastAsia="cs-CZ"/>
        </w:rPr>
        <w:t>jiné</w:t>
      </w:r>
      <w:r w:rsidR="0018494C">
        <w:rPr>
          <w:rFonts w:ascii="Verdana" w:hAnsi="Verdana"/>
          <w:sz w:val="20"/>
          <w:szCs w:val="16"/>
          <w:lang w:eastAsia="cs-CZ"/>
        </w:rPr>
        <w:t xml:space="preserve"> </w:t>
      </w:r>
      <w:r w:rsidR="000E2216">
        <w:rPr>
          <w:rFonts w:ascii="Verdana" w:hAnsi="Verdana"/>
          <w:sz w:val="20"/>
          <w:szCs w:val="16"/>
          <w:lang w:eastAsia="cs-CZ"/>
        </w:rPr>
        <w:t>proměnné</w:t>
      </w:r>
      <w:r w:rsidR="0018494C">
        <w:rPr>
          <w:rFonts w:ascii="Verdana" w:hAnsi="Verdana"/>
          <w:sz w:val="20"/>
          <w:szCs w:val="16"/>
          <w:lang w:eastAsia="cs-CZ"/>
        </w:rPr>
        <w:t xml:space="preserve"> </w:t>
      </w:r>
      <w:r w:rsidR="000E2216">
        <w:rPr>
          <w:rFonts w:ascii="Verdana" w:hAnsi="Verdana"/>
          <w:sz w:val="20"/>
          <w:szCs w:val="16"/>
          <w:lang w:eastAsia="cs-CZ"/>
        </w:rPr>
        <w:t>ve studovaných</w:t>
      </w:r>
      <w:r w:rsidR="0018494C">
        <w:rPr>
          <w:rFonts w:ascii="Verdana" w:hAnsi="Verdana"/>
          <w:sz w:val="20"/>
          <w:szCs w:val="16"/>
          <w:lang w:eastAsia="cs-CZ"/>
        </w:rPr>
        <w:t xml:space="preserve"> zemích. Nevýhodou tohoto modelu naopak je, že některé efekty nedokáže dostatečně přesně zachytit a mohou tak být mylně vyhodnoceny jako nevýznamné. Pro naše účely jej lze ovšem označit jako nástroj standardní a hojně využívaný.</w:t>
      </w:r>
    </w:p>
    <w:p w14:paraId="2B8AFF34" w14:textId="1614C302" w:rsidR="0018494C" w:rsidRDefault="0018494C" w:rsidP="001D211F">
      <w:pPr>
        <w:spacing w:line="360" w:lineRule="auto"/>
        <w:jc w:val="both"/>
        <w:rPr>
          <w:rFonts w:ascii="Verdana" w:hAnsi="Verdana"/>
          <w:sz w:val="20"/>
          <w:szCs w:val="16"/>
          <w:lang w:eastAsia="cs-CZ"/>
        </w:rPr>
      </w:pPr>
      <w:r w:rsidRPr="000E2216">
        <w:rPr>
          <w:rFonts w:ascii="Verdana" w:hAnsi="Verdana"/>
          <w:b/>
          <w:sz w:val="20"/>
          <w:szCs w:val="16"/>
          <w:lang w:eastAsia="cs-CZ"/>
        </w:rPr>
        <w:t>S jistou dávkou zjednodušení lze pak naši metodologii popsat takto</w:t>
      </w:r>
      <w:r>
        <w:rPr>
          <w:rFonts w:ascii="Verdana" w:hAnsi="Verdana"/>
          <w:sz w:val="20"/>
          <w:szCs w:val="16"/>
          <w:lang w:eastAsia="cs-CZ"/>
        </w:rPr>
        <w:t>: na vzorku všech členských zemí Evropské unie v období od roku 1995 (či později, pokud neexistují takto dlouhé časové řady) odhadujeme,</w:t>
      </w:r>
      <w:r w:rsidRPr="000E2216">
        <w:rPr>
          <w:rFonts w:ascii="Verdana" w:hAnsi="Verdana"/>
          <w:b/>
          <w:sz w:val="20"/>
          <w:szCs w:val="16"/>
          <w:lang w:eastAsia="cs-CZ"/>
        </w:rPr>
        <w:t xml:space="preserve"> jak citlivě indikátory životní úrovně v těchto státech reagují na změny v jejich reálné</w:t>
      </w:r>
      <w:r w:rsidR="002B3F70">
        <w:rPr>
          <w:rFonts w:ascii="Verdana" w:hAnsi="Verdana"/>
          <w:b/>
          <w:sz w:val="20"/>
          <w:szCs w:val="16"/>
          <w:lang w:eastAsia="cs-CZ"/>
        </w:rPr>
        <w:t xml:space="preserve"> průměrné</w:t>
      </w:r>
      <w:r w:rsidRPr="000E2216">
        <w:rPr>
          <w:rFonts w:ascii="Verdana" w:hAnsi="Verdana"/>
          <w:b/>
          <w:sz w:val="20"/>
          <w:szCs w:val="16"/>
          <w:lang w:eastAsia="cs-CZ"/>
        </w:rPr>
        <w:t xml:space="preserve"> mzdě</w:t>
      </w:r>
      <w:r>
        <w:rPr>
          <w:rFonts w:ascii="Verdana" w:hAnsi="Verdana"/>
          <w:sz w:val="20"/>
          <w:szCs w:val="16"/>
          <w:lang w:eastAsia="cs-CZ"/>
        </w:rPr>
        <w:t xml:space="preserve">. Následně tento efekt aplikujeme na námi očekávaný pokles reálné průměrné mzdy v Česku v roce 2022 (-8,3 %). Posledním krokem pak je přepočítání tohoto efektu na skutečné hodnoty vykazované Českou republikou. Výsledkem pak je </w:t>
      </w:r>
      <w:r w:rsidRPr="000E2216">
        <w:rPr>
          <w:rFonts w:ascii="Verdana" w:hAnsi="Verdana"/>
          <w:b/>
          <w:sz w:val="20"/>
          <w:szCs w:val="16"/>
          <w:lang w:eastAsia="cs-CZ"/>
        </w:rPr>
        <w:t>náš odhad toho, jak citelně se propad reálné mzdy v Česku může projevit v životech jeho obyvatel</w:t>
      </w:r>
      <w:r>
        <w:rPr>
          <w:rFonts w:ascii="Verdana" w:hAnsi="Verdana"/>
          <w:sz w:val="20"/>
          <w:szCs w:val="16"/>
          <w:lang w:eastAsia="cs-CZ"/>
        </w:rPr>
        <w:t>.</w:t>
      </w:r>
    </w:p>
    <w:p w14:paraId="6B3F6C4E" w14:textId="6BE0EE19" w:rsidR="007D2C90" w:rsidRPr="009C5A9F" w:rsidRDefault="0018494C" w:rsidP="007D2C90">
      <w:pPr>
        <w:pStyle w:val="Nadpis3"/>
        <w:spacing w:before="120" w:after="160" w:line="240" w:lineRule="auto"/>
        <w:rPr>
          <w:rFonts w:ascii="Verdana" w:hAnsi="Verdana"/>
          <w:b/>
        </w:rPr>
      </w:pPr>
      <w:r>
        <w:rPr>
          <w:rFonts w:ascii="Verdana" w:hAnsi="Verdana"/>
          <w:b/>
          <w:sz w:val="22"/>
        </w:rPr>
        <w:t>Výsledky</w:t>
      </w:r>
    </w:p>
    <w:p w14:paraId="115DFE8A" w14:textId="528D4053" w:rsidR="00343C11" w:rsidRDefault="00343C11" w:rsidP="007D2C90">
      <w:pPr>
        <w:spacing w:line="360" w:lineRule="auto"/>
        <w:jc w:val="both"/>
        <w:rPr>
          <w:rFonts w:ascii="Verdana" w:hAnsi="Verdana"/>
          <w:sz w:val="20"/>
          <w:szCs w:val="16"/>
          <w:lang w:eastAsia="cs-CZ"/>
        </w:rPr>
      </w:pPr>
      <w:r>
        <w:rPr>
          <w:rFonts w:ascii="Verdana" w:hAnsi="Verdana"/>
          <w:sz w:val="20"/>
          <w:szCs w:val="16"/>
          <w:lang w:eastAsia="cs-CZ"/>
        </w:rPr>
        <w:t xml:space="preserve">Indikátorů, které se vztahují ke kvalitě života společnosti, existuje ve veřejně dostupných zdrojích značné množství. </w:t>
      </w:r>
      <w:r w:rsidR="00F914E0" w:rsidRPr="00F914E0">
        <w:rPr>
          <w:rFonts w:ascii="Verdana" w:hAnsi="Verdana"/>
          <w:b/>
          <w:sz w:val="20"/>
          <w:szCs w:val="16"/>
          <w:lang w:eastAsia="cs-CZ"/>
        </w:rPr>
        <w:t>Naše volba padla na 10 indikátorů, které podle našeho názoru poskytují dobrou představu o tom, jak silně může společnost být zasažena poklesem reálných mezd</w:t>
      </w:r>
      <w:r w:rsidR="00F914E0">
        <w:rPr>
          <w:rFonts w:ascii="Verdana" w:hAnsi="Verdana"/>
          <w:sz w:val="20"/>
          <w:szCs w:val="16"/>
          <w:lang w:eastAsia="cs-CZ"/>
        </w:rPr>
        <w:t>. Z těchto 10 indikátorů jsme u 7 byli schopni identifikovat reakci na pokles reálné mzdy, u zbylých 3 nikoliv</w:t>
      </w:r>
      <w:r>
        <w:rPr>
          <w:rFonts w:ascii="Verdana" w:hAnsi="Verdana"/>
          <w:sz w:val="20"/>
          <w:szCs w:val="16"/>
          <w:lang w:eastAsia="cs-CZ"/>
        </w:rPr>
        <w:t xml:space="preserve">. U každého analyzovaného indikátoru reportujeme výsledky stejným způsobem </w:t>
      </w:r>
      <w:r w:rsidR="00021FFE">
        <w:rPr>
          <w:rFonts w:ascii="Verdana" w:hAnsi="Verdana"/>
          <w:sz w:val="20"/>
          <w:szCs w:val="16"/>
          <w:lang w:eastAsia="cs-CZ"/>
        </w:rPr>
        <w:t>–</w:t>
      </w:r>
      <w:r>
        <w:rPr>
          <w:rFonts w:ascii="Verdana" w:hAnsi="Verdana"/>
          <w:sz w:val="20"/>
          <w:szCs w:val="16"/>
          <w:lang w:eastAsia="cs-CZ"/>
        </w:rPr>
        <w:t xml:space="preserve"> </w:t>
      </w:r>
      <w:r w:rsidR="00021FFE">
        <w:rPr>
          <w:rFonts w:ascii="Verdana" w:hAnsi="Verdana"/>
          <w:sz w:val="20"/>
          <w:szCs w:val="16"/>
          <w:lang w:eastAsia="cs-CZ"/>
        </w:rPr>
        <w:t xml:space="preserve">nejprve popíšeme samotný indikátor, následně uvedeme zdroj použitých dat, nejaktuálnější hodnotu vykázanou Českou republikou a poté představíme graf s výsledky. Ten ukazuje náš odhad efektu, který očekávaný propad české reálné průměrné mzdy z roku 2022 (tedy -8,3 %) </w:t>
      </w:r>
      <w:r w:rsidR="00F914E0">
        <w:rPr>
          <w:rFonts w:ascii="Verdana" w:hAnsi="Verdana"/>
          <w:sz w:val="20"/>
          <w:szCs w:val="16"/>
          <w:lang w:eastAsia="cs-CZ"/>
        </w:rPr>
        <w:t>může</w:t>
      </w:r>
      <w:r w:rsidR="00021FFE">
        <w:rPr>
          <w:rFonts w:ascii="Verdana" w:hAnsi="Verdana"/>
          <w:sz w:val="20"/>
          <w:szCs w:val="16"/>
          <w:lang w:eastAsia="cs-CZ"/>
        </w:rPr>
        <w:t xml:space="preserve"> mít na dotyčný indikátor kvality života v letech 2022-24</w:t>
      </w:r>
      <w:r w:rsidR="00F914E0">
        <w:rPr>
          <w:rFonts w:ascii="Verdana" w:hAnsi="Verdana"/>
          <w:sz w:val="20"/>
          <w:szCs w:val="16"/>
          <w:lang w:eastAsia="cs-CZ"/>
        </w:rPr>
        <w:t>.</w:t>
      </w:r>
    </w:p>
    <w:p w14:paraId="7239D0E9" w14:textId="77777777" w:rsidR="00CC169C" w:rsidRDefault="00CC169C">
      <w:pPr>
        <w:rPr>
          <w:rFonts w:ascii="Verdana" w:hAnsi="Verdana"/>
          <w:sz w:val="22"/>
          <w:szCs w:val="16"/>
          <w:u w:val="single"/>
          <w:lang w:eastAsia="cs-CZ"/>
        </w:rPr>
      </w:pPr>
      <w:r>
        <w:rPr>
          <w:rFonts w:ascii="Verdana" w:hAnsi="Verdana"/>
          <w:sz w:val="22"/>
          <w:szCs w:val="16"/>
          <w:u w:val="single"/>
          <w:lang w:eastAsia="cs-CZ"/>
        </w:rPr>
        <w:br w:type="page"/>
      </w:r>
    </w:p>
    <w:p w14:paraId="4A21014A" w14:textId="3BC79206" w:rsidR="00CC169C" w:rsidRDefault="00CC169C" w:rsidP="00CC169C">
      <w:pPr>
        <w:spacing w:after="0" w:line="360" w:lineRule="auto"/>
        <w:jc w:val="both"/>
        <w:rPr>
          <w:rFonts w:ascii="Verdana" w:hAnsi="Verdana"/>
          <w:sz w:val="20"/>
          <w:szCs w:val="16"/>
          <w:u w:val="single"/>
          <w:lang w:eastAsia="cs-CZ"/>
        </w:rPr>
      </w:pPr>
      <w:r w:rsidRPr="006C15F8">
        <w:rPr>
          <w:rFonts w:ascii="Verdana" w:hAnsi="Verdana"/>
          <w:sz w:val="22"/>
          <w:szCs w:val="16"/>
          <w:u w:val="single"/>
          <w:lang w:eastAsia="cs-CZ"/>
        </w:rPr>
        <w:lastRenderedPageBreak/>
        <w:t>Krádeže</w:t>
      </w:r>
    </w:p>
    <w:p w14:paraId="6F3B4FD1" w14:textId="77777777" w:rsidR="00CC169C"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Popis</w:t>
      </w:r>
      <w:r>
        <w:rPr>
          <w:rFonts w:ascii="Verdana" w:hAnsi="Verdana"/>
          <w:sz w:val="20"/>
          <w:szCs w:val="16"/>
          <w:lang w:eastAsia="cs-CZ"/>
        </w:rPr>
        <w:t>: Roční četnost krádeží evidovaných policií na 100 tisíc obyvatel</w:t>
      </w:r>
    </w:p>
    <w:p w14:paraId="51720042" w14:textId="77777777" w:rsidR="00CC169C"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Zdroj dat</w:t>
      </w:r>
      <w:r>
        <w:rPr>
          <w:rFonts w:ascii="Verdana" w:hAnsi="Verdana"/>
          <w:sz w:val="20"/>
          <w:szCs w:val="16"/>
          <w:lang w:eastAsia="cs-CZ"/>
        </w:rPr>
        <w:t xml:space="preserve">: </w:t>
      </w:r>
      <w:proofErr w:type="spellStart"/>
      <w:r>
        <w:rPr>
          <w:rFonts w:ascii="Verdana" w:hAnsi="Verdana"/>
          <w:sz w:val="20"/>
          <w:szCs w:val="16"/>
          <w:lang w:eastAsia="cs-CZ"/>
        </w:rPr>
        <w:t>Eurostat</w:t>
      </w:r>
      <w:proofErr w:type="spellEnd"/>
    </w:p>
    <w:p w14:paraId="1D80BD38" w14:textId="6C2636A6" w:rsidR="00CC169C"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Poslední známý údaj v ČR</w:t>
      </w:r>
      <w:r>
        <w:rPr>
          <w:rFonts w:ascii="Verdana" w:hAnsi="Verdana"/>
          <w:sz w:val="20"/>
          <w:szCs w:val="16"/>
          <w:lang w:eastAsia="cs-CZ"/>
        </w:rPr>
        <w:t>: 426,8 (2020)</w:t>
      </w:r>
    </w:p>
    <w:p w14:paraId="110B6243" w14:textId="54794CEA" w:rsidR="002B3F70" w:rsidRDefault="002B3F70" w:rsidP="00CC169C">
      <w:pPr>
        <w:spacing w:after="0" w:line="360" w:lineRule="auto"/>
        <w:jc w:val="both"/>
        <w:rPr>
          <w:rFonts w:ascii="Verdana" w:hAnsi="Verdana"/>
          <w:sz w:val="20"/>
          <w:szCs w:val="16"/>
          <w:lang w:eastAsia="cs-CZ"/>
        </w:rPr>
      </w:pPr>
      <w:r>
        <w:rPr>
          <w:rFonts w:ascii="Verdana" w:hAnsi="Verdana"/>
          <w:b/>
          <w:sz w:val="20"/>
          <w:szCs w:val="16"/>
          <w:lang w:eastAsia="cs-CZ"/>
        </w:rPr>
        <w:t>Odhad efektu propadu reálných mezd:</w:t>
      </w:r>
    </w:p>
    <w:p w14:paraId="6EE7CDA1" w14:textId="15950FC3" w:rsidR="00CC169C" w:rsidRDefault="00CC169C" w:rsidP="00CC169C">
      <w:pPr>
        <w:spacing w:after="0" w:line="360" w:lineRule="auto"/>
        <w:jc w:val="both"/>
        <w:rPr>
          <w:rFonts w:ascii="Verdana" w:hAnsi="Verdana"/>
          <w:sz w:val="20"/>
          <w:szCs w:val="16"/>
          <w:lang w:eastAsia="cs-CZ"/>
        </w:rPr>
      </w:pPr>
      <w:r>
        <w:rPr>
          <w:noProof/>
          <w:lang w:eastAsia="cs-CZ"/>
        </w:rPr>
        <w:drawing>
          <wp:inline distT="0" distB="0" distL="0" distR="0" wp14:anchorId="128A6AB5" wp14:editId="7552A0D8">
            <wp:extent cx="3098165" cy="1858645"/>
            <wp:effectExtent l="0" t="0" r="6985" b="8255"/>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C893D8" w14:textId="7F59951A" w:rsidR="00CC169C"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Interpretace výsledku</w:t>
      </w:r>
      <w:r>
        <w:rPr>
          <w:rFonts w:ascii="Verdana" w:hAnsi="Verdana"/>
          <w:sz w:val="20"/>
          <w:szCs w:val="16"/>
          <w:lang w:eastAsia="cs-CZ"/>
        </w:rPr>
        <w:t xml:space="preserve">: Nárůst četnosti krádeží celkem o </w:t>
      </w:r>
      <w:r w:rsidR="00F265B2">
        <w:rPr>
          <w:rFonts w:ascii="Verdana" w:hAnsi="Verdana"/>
          <w:sz w:val="20"/>
          <w:szCs w:val="16"/>
          <w:lang w:eastAsia="cs-CZ"/>
        </w:rPr>
        <w:t>69,4</w:t>
      </w:r>
      <w:r>
        <w:rPr>
          <w:rFonts w:ascii="Verdana" w:hAnsi="Verdana"/>
          <w:sz w:val="20"/>
          <w:szCs w:val="16"/>
          <w:lang w:eastAsia="cs-CZ"/>
        </w:rPr>
        <w:t xml:space="preserve"> na 100 tisíc obyvatel, tedy</w:t>
      </w:r>
      <w:r w:rsidR="00F265B2">
        <w:rPr>
          <w:rFonts w:ascii="Verdana" w:hAnsi="Verdana"/>
          <w:sz w:val="20"/>
          <w:szCs w:val="16"/>
          <w:lang w:eastAsia="cs-CZ"/>
        </w:rPr>
        <w:t xml:space="preserve"> celkem</w:t>
      </w:r>
      <w:r>
        <w:rPr>
          <w:rFonts w:ascii="Verdana" w:hAnsi="Verdana"/>
          <w:sz w:val="20"/>
          <w:szCs w:val="16"/>
          <w:lang w:eastAsia="cs-CZ"/>
        </w:rPr>
        <w:t xml:space="preserve"> o </w:t>
      </w:r>
      <w:r w:rsidR="00F265B2">
        <w:rPr>
          <w:rFonts w:ascii="Verdana" w:hAnsi="Verdana"/>
          <w:sz w:val="20"/>
          <w:szCs w:val="16"/>
          <w:lang w:eastAsia="cs-CZ"/>
        </w:rPr>
        <w:t>7425</w:t>
      </w:r>
      <w:r>
        <w:rPr>
          <w:rFonts w:ascii="Verdana" w:hAnsi="Verdana"/>
          <w:sz w:val="20"/>
          <w:szCs w:val="16"/>
          <w:lang w:eastAsia="cs-CZ"/>
        </w:rPr>
        <w:t xml:space="preserve"> krádeží v letech 2022-24. </w:t>
      </w:r>
      <w:r w:rsidR="00F265B2">
        <w:rPr>
          <w:rFonts w:ascii="Verdana" w:hAnsi="Verdana"/>
          <w:sz w:val="20"/>
          <w:szCs w:val="16"/>
          <w:lang w:eastAsia="cs-CZ"/>
        </w:rPr>
        <w:t>Četnost krádeží narůstá nejvíce v prvním roce, zvýšená zůstává i ve druhém, k normálu se vrací ve třetím roce od poklesu reálných mezd</w:t>
      </w:r>
    </w:p>
    <w:p w14:paraId="6B41E5D2" w14:textId="77777777" w:rsidR="00CC169C" w:rsidRDefault="00CC169C" w:rsidP="00CC169C">
      <w:pPr>
        <w:spacing w:after="0" w:line="360" w:lineRule="auto"/>
        <w:jc w:val="both"/>
        <w:rPr>
          <w:rFonts w:ascii="Verdana" w:hAnsi="Verdana"/>
          <w:sz w:val="22"/>
          <w:szCs w:val="16"/>
          <w:u w:val="single"/>
          <w:lang w:eastAsia="cs-CZ"/>
        </w:rPr>
      </w:pPr>
    </w:p>
    <w:p w14:paraId="1F0D8B34" w14:textId="5E93E841" w:rsidR="00CC169C" w:rsidRPr="006C15F8" w:rsidRDefault="00CC169C" w:rsidP="00CC169C">
      <w:pPr>
        <w:spacing w:after="0" w:line="360" w:lineRule="auto"/>
        <w:jc w:val="both"/>
        <w:rPr>
          <w:rFonts w:ascii="Verdana" w:hAnsi="Verdana"/>
          <w:sz w:val="22"/>
          <w:szCs w:val="16"/>
          <w:u w:val="single"/>
          <w:lang w:eastAsia="cs-CZ"/>
        </w:rPr>
      </w:pPr>
      <w:r w:rsidRPr="006C15F8">
        <w:rPr>
          <w:rFonts w:ascii="Verdana" w:hAnsi="Verdana"/>
          <w:sz w:val="22"/>
          <w:szCs w:val="16"/>
          <w:u w:val="single"/>
          <w:lang w:eastAsia="cs-CZ"/>
        </w:rPr>
        <w:t>Spotřeba alkoholu</w:t>
      </w:r>
    </w:p>
    <w:p w14:paraId="65A212DE" w14:textId="77777777" w:rsidR="00CC169C"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Popis</w:t>
      </w:r>
      <w:r>
        <w:rPr>
          <w:rFonts w:ascii="Verdana" w:hAnsi="Verdana"/>
          <w:sz w:val="20"/>
          <w:szCs w:val="16"/>
          <w:lang w:eastAsia="cs-CZ"/>
        </w:rPr>
        <w:t>: Roční spotřeba čistého alkoholu v litrech na osobu starší 15 let</w:t>
      </w:r>
    </w:p>
    <w:p w14:paraId="15BACBB5" w14:textId="77777777" w:rsidR="00CC169C"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Zdroj dat</w:t>
      </w:r>
      <w:r>
        <w:rPr>
          <w:rFonts w:ascii="Verdana" w:hAnsi="Verdana"/>
          <w:sz w:val="20"/>
          <w:szCs w:val="16"/>
          <w:lang w:eastAsia="cs-CZ"/>
        </w:rPr>
        <w:t>: OECD</w:t>
      </w:r>
    </w:p>
    <w:p w14:paraId="3A25984D" w14:textId="53FE799E" w:rsidR="00CC169C"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Poslední známý údaj v ČR</w:t>
      </w:r>
      <w:r>
        <w:rPr>
          <w:rFonts w:ascii="Verdana" w:hAnsi="Verdana"/>
          <w:sz w:val="20"/>
          <w:szCs w:val="16"/>
          <w:lang w:eastAsia="cs-CZ"/>
        </w:rPr>
        <w:t>: 11,6 (2020)</w:t>
      </w:r>
    </w:p>
    <w:p w14:paraId="58633769" w14:textId="77777777" w:rsidR="00941305" w:rsidRDefault="00941305" w:rsidP="00941305">
      <w:pPr>
        <w:spacing w:after="0" w:line="360" w:lineRule="auto"/>
        <w:jc w:val="both"/>
        <w:rPr>
          <w:rFonts w:ascii="Verdana" w:hAnsi="Verdana"/>
          <w:sz w:val="20"/>
          <w:szCs w:val="16"/>
          <w:lang w:eastAsia="cs-CZ"/>
        </w:rPr>
      </w:pPr>
      <w:r>
        <w:rPr>
          <w:rFonts w:ascii="Verdana" w:hAnsi="Verdana"/>
          <w:b/>
          <w:sz w:val="20"/>
          <w:szCs w:val="16"/>
          <w:lang w:eastAsia="cs-CZ"/>
        </w:rPr>
        <w:t>Odhad efektu propadu reálných mezd:</w:t>
      </w:r>
    </w:p>
    <w:p w14:paraId="4F5088A1" w14:textId="77777777" w:rsidR="00CC169C" w:rsidRDefault="00CC169C" w:rsidP="00CC169C">
      <w:pPr>
        <w:spacing w:after="0" w:line="360" w:lineRule="auto"/>
        <w:jc w:val="both"/>
        <w:rPr>
          <w:rFonts w:ascii="Verdana" w:hAnsi="Verdana"/>
          <w:sz w:val="20"/>
          <w:szCs w:val="16"/>
          <w:lang w:eastAsia="cs-CZ"/>
        </w:rPr>
      </w:pPr>
      <w:r>
        <w:rPr>
          <w:noProof/>
          <w:lang w:eastAsia="cs-CZ"/>
        </w:rPr>
        <w:drawing>
          <wp:inline distT="0" distB="0" distL="0" distR="0" wp14:anchorId="28ED8F2E" wp14:editId="5C191C27">
            <wp:extent cx="3098165" cy="1858645"/>
            <wp:effectExtent l="0" t="0" r="6985" b="8255"/>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966D57" w14:textId="1C5A7ACA" w:rsidR="00CC169C"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Interpretace výsledku</w:t>
      </w:r>
      <w:r>
        <w:rPr>
          <w:rFonts w:ascii="Verdana" w:hAnsi="Verdana"/>
          <w:sz w:val="20"/>
          <w:szCs w:val="16"/>
          <w:lang w:eastAsia="cs-CZ"/>
        </w:rPr>
        <w:t xml:space="preserve">: Nárůst roční </w:t>
      </w:r>
      <w:r w:rsidR="00F265B2">
        <w:rPr>
          <w:rFonts w:ascii="Verdana" w:hAnsi="Verdana"/>
          <w:sz w:val="20"/>
          <w:szCs w:val="16"/>
          <w:lang w:eastAsia="cs-CZ"/>
        </w:rPr>
        <w:t>spotřeby o 0,35</w:t>
      </w:r>
      <w:r>
        <w:rPr>
          <w:rFonts w:ascii="Verdana" w:hAnsi="Verdana"/>
          <w:sz w:val="20"/>
          <w:szCs w:val="16"/>
          <w:lang w:eastAsia="cs-CZ"/>
        </w:rPr>
        <w:t xml:space="preserve"> litru čistého alkoholu na osobu v letech </w:t>
      </w:r>
      <w:r>
        <w:rPr>
          <w:rFonts w:ascii="Verdana" w:hAnsi="Verdana"/>
          <w:sz w:val="20"/>
          <w:szCs w:val="16"/>
          <w:lang w:eastAsia="cs-CZ"/>
        </w:rPr>
        <w:t xml:space="preserve">2022-24. </w:t>
      </w:r>
      <w:r w:rsidR="00F265B2">
        <w:rPr>
          <w:rFonts w:ascii="Verdana" w:hAnsi="Verdana"/>
          <w:sz w:val="20"/>
          <w:szCs w:val="16"/>
          <w:lang w:eastAsia="cs-CZ"/>
        </w:rPr>
        <w:t>K nárůstu dochází v prvním roce po poklesu reálných mezd, následně naopak spotřeba klesá v roce druhém a k normálu se vrací v roce třetím</w:t>
      </w:r>
    </w:p>
    <w:p w14:paraId="5B99BF7B" w14:textId="77777777" w:rsidR="00CC169C" w:rsidRDefault="00CC169C" w:rsidP="00CC169C">
      <w:pPr>
        <w:spacing w:after="0" w:line="360" w:lineRule="auto"/>
        <w:jc w:val="both"/>
        <w:rPr>
          <w:rFonts w:ascii="Verdana" w:hAnsi="Verdana"/>
          <w:sz w:val="20"/>
          <w:szCs w:val="16"/>
          <w:lang w:eastAsia="cs-CZ"/>
        </w:rPr>
      </w:pPr>
    </w:p>
    <w:p w14:paraId="115F25E1" w14:textId="77777777" w:rsidR="00CC169C" w:rsidRDefault="00CC169C" w:rsidP="00CC169C">
      <w:pPr>
        <w:spacing w:after="0" w:line="360" w:lineRule="auto"/>
        <w:jc w:val="both"/>
        <w:rPr>
          <w:rFonts w:ascii="Verdana" w:hAnsi="Verdana"/>
          <w:sz w:val="20"/>
          <w:szCs w:val="16"/>
          <w:u w:val="single"/>
          <w:lang w:eastAsia="cs-CZ"/>
        </w:rPr>
      </w:pPr>
      <w:r w:rsidRPr="006C15F8">
        <w:rPr>
          <w:rFonts w:ascii="Verdana" w:hAnsi="Verdana"/>
          <w:sz w:val="22"/>
          <w:szCs w:val="16"/>
          <w:u w:val="single"/>
          <w:lang w:eastAsia="cs-CZ"/>
        </w:rPr>
        <w:t>Rozvody</w:t>
      </w:r>
    </w:p>
    <w:p w14:paraId="0A3CD387" w14:textId="77777777" w:rsidR="00CC169C"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Popis</w:t>
      </w:r>
      <w:r>
        <w:rPr>
          <w:rFonts w:ascii="Verdana" w:hAnsi="Verdana"/>
          <w:sz w:val="20"/>
          <w:szCs w:val="16"/>
          <w:lang w:eastAsia="cs-CZ"/>
        </w:rPr>
        <w:t>: Roční četnost rozvodů na 1000 obyvatel</w:t>
      </w:r>
    </w:p>
    <w:p w14:paraId="5A8B8AA7" w14:textId="77777777" w:rsidR="00CC169C"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Zdroj dat</w:t>
      </w:r>
      <w:r>
        <w:rPr>
          <w:rFonts w:ascii="Verdana" w:hAnsi="Verdana"/>
          <w:sz w:val="20"/>
          <w:szCs w:val="16"/>
          <w:lang w:eastAsia="cs-CZ"/>
        </w:rPr>
        <w:t>: OECD</w:t>
      </w:r>
    </w:p>
    <w:p w14:paraId="365313BE" w14:textId="4A3415A8" w:rsidR="00CC169C"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Poslední známý údaj v ČR</w:t>
      </w:r>
      <w:r>
        <w:rPr>
          <w:rFonts w:ascii="Verdana" w:hAnsi="Verdana"/>
          <w:sz w:val="20"/>
          <w:szCs w:val="16"/>
          <w:lang w:eastAsia="cs-CZ"/>
        </w:rPr>
        <w:t>: 2,0 (2020)</w:t>
      </w:r>
    </w:p>
    <w:p w14:paraId="55F6B4E5" w14:textId="77777777" w:rsidR="00941305" w:rsidRDefault="00941305" w:rsidP="00941305">
      <w:pPr>
        <w:spacing w:after="0" w:line="360" w:lineRule="auto"/>
        <w:jc w:val="both"/>
        <w:rPr>
          <w:rFonts w:ascii="Verdana" w:hAnsi="Verdana"/>
          <w:sz w:val="20"/>
          <w:szCs w:val="16"/>
          <w:lang w:eastAsia="cs-CZ"/>
        </w:rPr>
      </w:pPr>
      <w:r>
        <w:rPr>
          <w:rFonts w:ascii="Verdana" w:hAnsi="Verdana"/>
          <w:b/>
          <w:sz w:val="20"/>
          <w:szCs w:val="16"/>
          <w:lang w:eastAsia="cs-CZ"/>
        </w:rPr>
        <w:t>Odhad efektu propadu reálných mezd:</w:t>
      </w:r>
    </w:p>
    <w:p w14:paraId="2C292928" w14:textId="77777777" w:rsidR="00CC169C" w:rsidRDefault="00CC169C" w:rsidP="00CC169C">
      <w:pPr>
        <w:spacing w:after="0" w:line="360" w:lineRule="auto"/>
        <w:jc w:val="both"/>
        <w:rPr>
          <w:rFonts w:ascii="Verdana" w:hAnsi="Verdana"/>
          <w:sz w:val="20"/>
          <w:szCs w:val="16"/>
          <w:lang w:eastAsia="cs-CZ"/>
        </w:rPr>
      </w:pPr>
      <w:r>
        <w:rPr>
          <w:noProof/>
          <w:lang w:eastAsia="cs-CZ"/>
        </w:rPr>
        <w:drawing>
          <wp:inline distT="0" distB="0" distL="0" distR="0" wp14:anchorId="5F77E6C6" wp14:editId="0DB8821E">
            <wp:extent cx="3098165" cy="1858645"/>
            <wp:effectExtent l="0" t="0" r="6985" b="8255"/>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60BBD0" w14:textId="52FA1413" w:rsidR="00CC169C" w:rsidRDefault="00CC169C" w:rsidP="00CC169C">
      <w:pPr>
        <w:spacing w:after="0" w:line="360" w:lineRule="auto"/>
        <w:jc w:val="both"/>
        <w:rPr>
          <w:rFonts w:ascii="Verdana" w:hAnsi="Verdana"/>
          <w:sz w:val="20"/>
          <w:szCs w:val="16"/>
          <w:lang w:eastAsia="cs-CZ"/>
        </w:rPr>
      </w:pPr>
      <w:r w:rsidRPr="0059171F">
        <w:rPr>
          <w:rFonts w:ascii="Verdana" w:hAnsi="Verdana"/>
          <w:b/>
          <w:sz w:val="20"/>
          <w:szCs w:val="16"/>
          <w:lang w:eastAsia="cs-CZ"/>
        </w:rPr>
        <w:t>Interpretace výsledku</w:t>
      </w:r>
      <w:r>
        <w:rPr>
          <w:rFonts w:ascii="Verdana" w:hAnsi="Verdana"/>
          <w:sz w:val="20"/>
          <w:szCs w:val="16"/>
          <w:lang w:eastAsia="cs-CZ"/>
        </w:rPr>
        <w:t>: nárůst četnosti rozvodů celkem o 0,</w:t>
      </w:r>
      <w:r w:rsidR="00F265B2">
        <w:rPr>
          <w:rFonts w:ascii="Verdana" w:hAnsi="Verdana"/>
          <w:sz w:val="20"/>
          <w:szCs w:val="16"/>
          <w:lang w:eastAsia="cs-CZ"/>
        </w:rPr>
        <w:t>2</w:t>
      </w:r>
      <w:r>
        <w:rPr>
          <w:rFonts w:ascii="Verdana" w:hAnsi="Verdana"/>
          <w:sz w:val="20"/>
          <w:szCs w:val="16"/>
          <w:lang w:eastAsia="cs-CZ"/>
        </w:rPr>
        <w:t xml:space="preserve"> na 1000 obyvatel, tedy o </w:t>
      </w:r>
      <w:r w:rsidR="009C5E04">
        <w:rPr>
          <w:rFonts w:ascii="Verdana" w:hAnsi="Verdana"/>
          <w:sz w:val="20"/>
          <w:szCs w:val="16"/>
          <w:lang w:eastAsia="cs-CZ"/>
        </w:rPr>
        <w:t>2140</w:t>
      </w:r>
      <w:r>
        <w:rPr>
          <w:rFonts w:ascii="Verdana" w:hAnsi="Verdana"/>
          <w:sz w:val="20"/>
          <w:szCs w:val="16"/>
          <w:lang w:eastAsia="cs-CZ"/>
        </w:rPr>
        <w:t xml:space="preserve"> rozvodů v letech 2022-24. V prvním roce</w:t>
      </w:r>
      <w:r w:rsidR="00941305">
        <w:rPr>
          <w:rFonts w:ascii="Verdana" w:hAnsi="Verdana"/>
          <w:sz w:val="20"/>
          <w:szCs w:val="16"/>
          <w:lang w:eastAsia="cs-CZ"/>
        </w:rPr>
        <w:t xml:space="preserve"> po</w:t>
      </w:r>
      <w:r>
        <w:rPr>
          <w:rFonts w:ascii="Verdana" w:hAnsi="Verdana"/>
          <w:sz w:val="20"/>
          <w:szCs w:val="16"/>
          <w:lang w:eastAsia="cs-CZ"/>
        </w:rPr>
        <w:t xml:space="preserve"> poklesu reálných mezd rozvodovost naopak klesá, poté strmě narůstá v roce druhém</w:t>
      </w:r>
      <w:r w:rsidR="00941305">
        <w:rPr>
          <w:rFonts w:ascii="Verdana" w:hAnsi="Verdana"/>
          <w:sz w:val="20"/>
          <w:szCs w:val="16"/>
          <w:lang w:eastAsia="cs-CZ"/>
        </w:rPr>
        <w:t>,</w:t>
      </w:r>
      <w:r>
        <w:rPr>
          <w:rFonts w:ascii="Verdana" w:hAnsi="Verdana"/>
          <w:sz w:val="20"/>
          <w:szCs w:val="16"/>
          <w:lang w:eastAsia="cs-CZ"/>
        </w:rPr>
        <w:t xml:space="preserve"> a </w:t>
      </w:r>
      <w:r w:rsidR="009C5E04">
        <w:rPr>
          <w:rFonts w:ascii="Verdana" w:hAnsi="Verdana"/>
          <w:sz w:val="20"/>
          <w:szCs w:val="16"/>
          <w:lang w:eastAsia="cs-CZ"/>
        </w:rPr>
        <w:t>ve třetím roce opět poklesne</w:t>
      </w:r>
    </w:p>
    <w:p w14:paraId="66311655" w14:textId="77777777" w:rsidR="00CC169C" w:rsidRDefault="00CC169C" w:rsidP="00CC169C">
      <w:pPr>
        <w:spacing w:after="0" w:line="360" w:lineRule="auto"/>
        <w:jc w:val="both"/>
        <w:rPr>
          <w:rFonts w:ascii="Verdana" w:hAnsi="Verdana"/>
          <w:sz w:val="20"/>
          <w:szCs w:val="16"/>
          <w:lang w:eastAsia="cs-CZ"/>
        </w:rPr>
      </w:pPr>
    </w:p>
    <w:p w14:paraId="3CE67D99" w14:textId="77777777" w:rsidR="00993D93" w:rsidRDefault="00993D93">
      <w:pPr>
        <w:rPr>
          <w:rFonts w:ascii="Verdana" w:hAnsi="Verdana"/>
          <w:sz w:val="22"/>
          <w:szCs w:val="16"/>
          <w:u w:val="single"/>
          <w:lang w:eastAsia="cs-CZ"/>
        </w:rPr>
      </w:pPr>
      <w:r>
        <w:rPr>
          <w:rFonts w:ascii="Verdana" w:hAnsi="Verdana"/>
          <w:sz w:val="22"/>
          <w:szCs w:val="16"/>
          <w:u w:val="single"/>
          <w:lang w:eastAsia="cs-CZ"/>
        </w:rPr>
        <w:br w:type="page"/>
      </w:r>
    </w:p>
    <w:p w14:paraId="11C0ADA0" w14:textId="0306F4B5" w:rsidR="00CC169C" w:rsidRPr="00CC169C" w:rsidRDefault="00CC169C" w:rsidP="00CC169C">
      <w:pPr>
        <w:spacing w:after="0" w:line="360" w:lineRule="auto"/>
        <w:jc w:val="both"/>
        <w:rPr>
          <w:rFonts w:ascii="Verdana" w:hAnsi="Verdana"/>
          <w:sz w:val="20"/>
          <w:szCs w:val="16"/>
          <w:lang w:eastAsia="cs-CZ"/>
        </w:rPr>
      </w:pPr>
      <w:r w:rsidRPr="006C15F8">
        <w:rPr>
          <w:rFonts w:ascii="Verdana" w:hAnsi="Verdana"/>
          <w:sz w:val="22"/>
          <w:szCs w:val="16"/>
          <w:u w:val="single"/>
          <w:lang w:eastAsia="cs-CZ"/>
        </w:rPr>
        <w:lastRenderedPageBreak/>
        <w:t>Subjektivně vnímaný zdravotní stav</w:t>
      </w:r>
    </w:p>
    <w:p w14:paraId="27D17DE9" w14:textId="77777777" w:rsidR="00CC169C"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Popis</w:t>
      </w:r>
      <w:r>
        <w:rPr>
          <w:rFonts w:ascii="Verdana" w:hAnsi="Verdana"/>
          <w:sz w:val="20"/>
          <w:szCs w:val="16"/>
          <w:lang w:eastAsia="cs-CZ"/>
        </w:rPr>
        <w:t>: Podíl respondentů ve věku 16+, kteří hodnotí svůj zdravotní stav jako „velmi dobrý“ či „dobrý“</w:t>
      </w:r>
    </w:p>
    <w:p w14:paraId="2AD8229F" w14:textId="77777777" w:rsidR="00CC169C"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Zdroj dat</w:t>
      </w:r>
      <w:r>
        <w:rPr>
          <w:rFonts w:ascii="Verdana" w:hAnsi="Verdana"/>
          <w:sz w:val="20"/>
          <w:szCs w:val="16"/>
          <w:lang w:eastAsia="cs-CZ"/>
        </w:rPr>
        <w:t xml:space="preserve">: </w:t>
      </w:r>
      <w:proofErr w:type="spellStart"/>
      <w:r>
        <w:rPr>
          <w:rFonts w:ascii="Verdana" w:hAnsi="Verdana"/>
          <w:sz w:val="20"/>
          <w:szCs w:val="16"/>
          <w:lang w:eastAsia="cs-CZ"/>
        </w:rPr>
        <w:t>Eurostat</w:t>
      </w:r>
      <w:proofErr w:type="spellEnd"/>
    </w:p>
    <w:p w14:paraId="40B4F279" w14:textId="60DDA9B9" w:rsidR="00CC169C"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Poslední známý údaj v ČR</w:t>
      </w:r>
      <w:r>
        <w:rPr>
          <w:rFonts w:ascii="Verdana" w:hAnsi="Verdana"/>
          <w:sz w:val="20"/>
          <w:szCs w:val="16"/>
          <w:lang w:eastAsia="cs-CZ"/>
        </w:rPr>
        <w:t>: 63,0 % (2021)</w:t>
      </w:r>
    </w:p>
    <w:p w14:paraId="17673571" w14:textId="77777777" w:rsidR="00941305" w:rsidRDefault="00941305" w:rsidP="00941305">
      <w:pPr>
        <w:spacing w:after="0" w:line="360" w:lineRule="auto"/>
        <w:jc w:val="both"/>
        <w:rPr>
          <w:rFonts w:ascii="Verdana" w:hAnsi="Verdana"/>
          <w:sz w:val="20"/>
          <w:szCs w:val="16"/>
          <w:lang w:eastAsia="cs-CZ"/>
        </w:rPr>
      </w:pPr>
      <w:r>
        <w:rPr>
          <w:rFonts w:ascii="Verdana" w:hAnsi="Verdana"/>
          <w:b/>
          <w:sz w:val="20"/>
          <w:szCs w:val="16"/>
          <w:lang w:eastAsia="cs-CZ"/>
        </w:rPr>
        <w:t>Odhad efektu propadu reálných mezd:</w:t>
      </w:r>
    </w:p>
    <w:p w14:paraId="78C6D515" w14:textId="77777777" w:rsidR="00CC169C" w:rsidRDefault="00CC169C" w:rsidP="00CC169C">
      <w:pPr>
        <w:spacing w:after="0" w:line="360" w:lineRule="auto"/>
        <w:jc w:val="both"/>
        <w:rPr>
          <w:rFonts w:ascii="Verdana" w:hAnsi="Verdana"/>
          <w:sz w:val="20"/>
          <w:szCs w:val="16"/>
          <w:lang w:eastAsia="cs-CZ"/>
        </w:rPr>
      </w:pPr>
      <w:r>
        <w:rPr>
          <w:noProof/>
          <w:lang w:eastAsia="cs-CZ"/>
        </w:rPr>
        <w:drawing>
          <wp:inline distT="0" distB="0" distL="0" distR="0" wp14:anchorId="61845880" wp14:editId="78A59F38">
            <wp:extent cx="3098165" cy="1858645"/>
            <wp:effectExtent l="0" t="0" r="6985" b="8255"/>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E9919E" w14:textId="2EDB9F21" w:rsidR="00CC169C"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Interpretace výsledku</w:t>
      </w:r>
      <w:r>
        <w:rPr>
          <w:rFonts w:ascii="Verdana" w:hAnsi="Verdana"/>
          <w:sz w:val="20"/>
          <w:szCs w:val="16"/>
          <w:lang w:eastAsia="cs-CZ"/>
        </w:rPr>
        <w:t>: Pokles podílu re</w:t>
      </w:r>
      <w:r w:rsidR="009C5E04">
        <w:rPr>
          <w:rFonts w:ascii="Verdana" w:hAnsi="Verdana"/>
          <w:sz w:val="20"/>
          <w:szCs w:val="16"/>
          <w:lang w:eastAsia="cs-CZ"/>
        </w:rPr>
        <w:t>sp</w:t>
      </w:r>
      <w:r>
        <w:rPr>
          <w:rFonts w:ascii="Verdana" w:hAnsi="Verdana"/>
          <w:sz w:val="20"/>
          <w:szCs w:val="16"/>
          <w:lang w:eastAsia="cs-CZ"/>
        </w:rPr>
        <w:t>o</w:t>
      </w:r>
      <w:r w:rsidR="009C5E04">
        <w:rPr>
          <w:rFonts w:ascii="Verdana" w:hAnsi="Verdana"/>
          <w:sz w:val="20"/>
          <w:szCs w:val="16"/>
          <w:lang w:eastAsia="cs-CZ"/>
        </w:rPr>
        <w:t>n</w:t>
      </w:r>
      <w:r>
        <w:rPr>
          <w:rFonts w:ascii="Verdana" w:hAnsi="Verdana"/>
          <w:sz w:val="20"/>
          <w:szCs w:val="16"/>
          <w:lang w:eastAsia="cs-CZ"/>
        </w:rPr>
        <w:t>dentů, kteří hodnotí svůj zdravotní stav jako „velmi dobrý“ či „dobrý</w:t>
      </w:r>
      <w:r w:rsidR="009C5E04">
        <w:rPr>
          <w:rFonts w:ascii="Verdana" w:hAnsi="Verdana"/>
          <w:sz w:val="20"/>
          <w:szCs w:val="16"/>
          <w:lang w:eastAsia="cs-CZ"/>
        </w:rPr>
        <w:t>“ o přibližně 3 % v prvním roce po poklesu reálné mzdy a přibližně 3,5 % v roce druhém. I ve třetím roce zůstává tento podíl mírně snížený, zhruba o 1 % oproti předchozímu normálu</w:t>
      </w:r>
    </w:p>
    <w:p w14:paraId="6C121E6F" w14:textId="6C968ED9" w:rsidR="00CC323B" w:rsidRDefault="00CC323B" w:rsidP="00CC323B">
      <w:pPr>
        <w:spacing w:after="0" w:line="360" w:lineRule="auto"/>
        <w:jc w:val="both"/>
        <w:rPr>
          <w:rFonts w:ascii="Verdana" w:hAnsi="Verdana"/>
          <w:sz w:val="20"/>
          <w:szCs w:val="16"/>
          <w:u w:val="single"/>
          <w:lang w:eastAsia="cs-CZ"/>
        </w:rPr>
      </w:pPr>
    </w:p>
    <w:p w14:paraId="61284E19" w14:textId="77777777" w:rsidR="00CC169C" w:rsidRPr="006C15F8" w:rsidRDefault="00CC169C" w:rsidP="00CC169C">
      <w:pPr>
        <w:spacing w:after="0" w:line="360" w:lineRule="auto"/>
        <w:jc w:val="both"/>
        <w:rPr>
          <w:rFonts w:ascii="Verdana" w:hAnsi="Verdana"/>
          <w:sz w:val="22"/>
          <w:szCs w:val="16"/>
          <w:u w:val="single"/>
          <w:lang w:eastAsia="cs-CZ"/>
        </w:rPr>
      </w:pPr>
      <w:r w:rsidRPr="006C15F8">
        <w:rPr>
          <w:rFonts w:ascii="Verdana" w:hAnsi="Verdana"/>
          <w:sz w:val="22"/>
          <w:szCs w:val="16"/>
          <w:u w:val="single"/>
          <w:lang w:eastAsia="cs-CZ"/>
        </w:rPr>
        <w:t>Sebevraždy</w:t>
      </w:r>
    </w:p>
    <w:p w14:paraId="62490207" w14:textId="77777777" w:rsidR="00CC169C"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Popis</w:t>
      </w:r>
      <w:r>
        <w:rPr>
          <w:rFonts w:ascii="Verdana" w:hAnsi="Verdana"/>
          <w:sz w:val="20"/>
          <w:szCs w:val="16"/>
          <w:lang w:eastAsia="cs-CZ"/>
        </w:rPr>
        <w:t>: Roční četnost sebevražd na 100 tisíc obyvatel</w:t>
      </w:r>
    </w:p>
    <w:p w14:paraId="25DFA46E" w14:textId="7E3F5525" w:rsidR="00CC169C"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Zdroj dat</w:t>
      </w:r>
      <w:r>
        <w:rPr>
          <w:rFonts w:ascii="Verdana" w:hAnsi="Verdana"/>
          <w:sz w:val="20"/>
          <w:szCs w:val="16"/>
          <w:lang w:eastAsia="cs-CZ"/>
        </w:rPr>
        <w:t xml:space="preserve">: </w:t>
      </w:r>
      <w:r w:rsidR="0059171F">
        <w:rPr>
          <w:rFonts w:ascii="Verdana" w:hAnsi="Verdana"/>
          <w:sz w:val="20"/>
          <w:szCs w:val="16"/>
          <w:lang w:eastAsia="cs-CZ"/>
        </w:rPr>
        <w:t>Světová zdravotnická organizace</w:t>
      </w:r>
    </w:p>
    <w:p w14:paraId="0FB3DA4B" w14:textId="6A2216E8" w:rsidR="00CC169C"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Poslední známý údaj v ČR</w:t>
      </w:r>
      <w:r>
        <w:rPr>
          <w:rFonts w:ascii="Verdana" w:hAnsi="Verdana"/>
          <w:sz w:val="20"/>
          <w:szCs w:val="16"/>
          <w:lang w:eastAsia="cs-CZ"/>
        </w:rPr>
        <w:t>: 9,48 (2019)</w:t>
      </w:r>
    </w:p>
    <w:p w14:paraId="3F781670" w14:textId="77777777" w:rsidR="00941305" w:rsidRDefault="00941305" w:rsidP="00941305">
      <w:pPr>
        <w:spacing w:after="0" w:line="360" w:lineRule="auto"/>
        <w:jc w:val="both"/>
        <w:rPr>
          <w:rFonts w:ascii="Verdana" w:hAnsi="Verdana"/>
          <w:sz w:val="20"/>
          <w:szCs w:val="16"/>
          <w:lang w:eastAsia="cs-CZ"/>
        </w:rPr>
      </w:pPr>
      <w:r>
        <w:rPr>
          <w:rFonts w:ascii="Verdana" w:hAnsi="Verdana"/>
          <w:b/>
          <w:sz w:val="20"/>
          <w:szCs w:val="16"/>
          <w:lang w:eastAsia="cs-CZ"/>
        </w:rPr>
        <w:t>Odhad efektu propadu reálných mezd:</w:t>
      </w:r>
    </w:p>
    <w:p w14:paraId="01CA29EB" w14:textId="77777777" w:rsidR="00CC169C" w:rsidRDefault="00CC169C" w:rsidP="00CC169C">
      <w:pPr>
        <w:spacing w:after="0" w:line="360" w:lineRule="auto"/>
        <w:jc w:val="both"/>
        <w:rPr>
          <w:rFonts w:ascii="Verdana" w:hAnsi="Verdana"/>
          <w:sz w:val="20"/>
          <w:szCs w:val="16"/>
          <w:lang w:eastAsia="cs-CZ"/>
        </w:rPr>
      </w:pPr>
      <w:r>
        <w:rPr>
          <w:noProof/>
          <w:lang w:eastAsia="cs-CZ"/>
        </w:rPr>
        <w:drawing>
          <wp:inline distT="0" distB="0" distL="0" distR="0" wp14:anchorId="589B1AA2" wp14:editId="16351673">
            <wp:extent cx="3098165" cy="1858645"/>
            <wp:effectExtent l="0" t="0" r="6985" b="825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B6D877" w14:textId="0C0662F7" w:rsidR="00CC169C"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Interpretace výsledku</w:t>
      </w:r>
      <w:r>
        <w:rPr>
          <w:rFonts w:ascii="Verdana" w:hAnsi="Verdana"/>
          <w:sz w:val="20"/>
          <w:szCs w:val="16"/>
          <w:lang w:eastAsia="cs-CZ"/>
        </w:rPr>
        <w:t xml:space="preserve">: Nárůst četnosti sebevražd celkem o </w:t>
      </w:r>
      <w:r w:rsidR="009C5E04">
        <w:rPr>
          <w:rFonts w:ascii="Verdana" w:hAnsi="Verdana"/>
          <w:sz w:val="20"/>
          <w:szCs w:val="16"/>
          <w:lang w:eastAsia="cs-CZ"/>
        </w:rPr>
        <w:t>0,</w:t>
      </w:r>
      <w:r w:rsidR="00060AD9">
        <w:rPr>
          <w:rFonts w:ascii="Verdana" w:hAnsi="Verdana"/>
          <w:sz w:val="20"/>
          <w:szCs w:val="16"/>
          <w:lang w:eastAsia="cs-CZ"/>
        </w:rPr>
        <w:t>5</w:t>
      </w:r>
      <w:r>
        <w:rPr>
          <w:rFonts w:ascii="Verdana" w:hAnsi="Verdana"/>
          <w:sz w:val="20"/>
          <w:szCs w:val="16"/>
          <w:lang w:eastAsia="cs-CZ"/>
        </w:rPr>
        <w:t xml:space="preserve"> na 100 tisíc obyvatel, tedy o </w:t>
      </w:r>
      <w:r w:rsidR="00060AD9">
        <w:rPr>
          <w:rFonts w:ascii="Verdana" w:hAnsi="Verdana"/>
          <w:sz w:val="20"/>
          <w:szCs w:val="16"/>
          <w:lang w:eastAsia="cs-CZ"/>
        </w:rPr>
        <w:t>54</w:t>
      </w:r>
      <w:r>
        <w:rPr>
          <w:rFonts w:ascii="Verdana" w:hAnsi="Verdana"/>
          <w:sz w:val="20"/>
          <w:szCs w:val="16"/>
          <w:lang w:eastAsia="cs-CZ"/>
        </w:rPr>
        <w:t xml:space="preserve"> sebevražd</w:t>
      </w:r>
      <w:r w:rsidR="009C5E04">
        <w:rPr>
          <w:rFonts w:ascii="Verdana" w:hAnsi="Verdana"/>
          <w:sz w:val="20"/>
          <w:szCs w:val="16"/>
          <w:lang w:eastAsia="cs-CZ"/>
        </w:rPr>
        <w:t>,</w:t>
      </w:r>
      <w:r>
        <w:rPr>
          <w:rFonts w:ascii="Verdana" w:hAnsi="Verdana"/>
          <w:sz w:val="20"/>
          <w:szCs w:val="16"/>
          <w:lang w:eastAsia="cs-CZ"/>
        </w:rPr>
        <w:t xml:space="preserve"> v letech 2022-24. </w:t>
      </w:r>
      <w:r w:rsidR="009C5E04">
        <w:rPr>
          <w:rFonts w:ascii="Verdana" w:hAnsi="Verdana"/>
          <w:sz w:val="20"/>
          <w:szCs w:val="16"/>
          <w:lang w:eastAsia="cs-CZ"/>
        </w:rPr>
        <w:t xml:space="preserve">Četnost narůstá v prvním roce po poklesu reálné mzdy, dále roste v roce </w:t>
      </w:r>
      <w:proofErr w:type="gramStart"/>
      <w:r w:rsidR="009C5E04">
        <w:rPr>
          <w:rFonts w:ascii="Verdana" w:hAnsi="Verdana"/>
          <w:sz w:val="20"/>
          <w:szCs w:val="16"/>
          <w:lang w:eastAsia="cs-CZ"/>
        </w:rPr>
        <w:t>druhém</w:t>
      </w:r>
      <w:proofErr w:type="gramEnd"/>
      <w:r w:rsidR="009C5E04">
        <w:rPr>
          <w:rFonts w:ascii="Verdana" w:hAnsi="Verdana"/>
          <w:sz w:val="20"/>
          <w:szCs w:val="16"/>
          <w:lang w:eastAsia="cs-CZ"/>
        </w:rPr>
        <w:t xml:space="preserve"> a naopak klesá v roce třetím</w:t>
      </w:r>
    </w:p>
    <w:p w14:paraId="44A2DCCF" w14:textId="77777777" w:rsidR="00CC169C" w:rsidRDefault="00CC169C" w:rsidP="00CC169C">
      <w:pPr>
        <w:spacing w:after="0" w:line="360" w:lineRule="auto"/>
        <w:jc w:val="both"/>
        <w:rPr>
          <w:rFonts w:ascii="Verdana" w:hAnsi="Verdana"/>
          <w:sz w:val="20"/>
          <w:szCs w:val="16"/>
          <w:lang w:eastAsia="cs-CZ"/>
        </w:rPr>
      </w:pPr>
    </w:p>
    <w:p w14:paraId="7BBFB189" w14:textId="77777777" w:rsidR="00CC169C" w:rsidRPr="006C15F8" w:rsidRDefault="00CC169C" w:rsidP="00CC169C">
      <w:pPr>
        <w:spacing w:after="0" w:line="360" w:lineRule="auto"/>
        <w:jc w:val="both"/>
        <w:rPr>
          <w:rFonts w:ascii="Verdana" w:hAnsi="Verdana"/>
          <w:sz w:val="22"/>
          <w:szCs w:val="16"/>
          <w:u w:val="single"/>
          <w:lang w:eastAsia="cs-CZ"/>
        </w:rPr>
      </w:pPr>
      <w:r w:rsidRPr="006C15F8">
        <w:rPr>
          <w:rFonts w:ascii="Verdana" w:hAnsi="Verdana"/>
          <w:sz w:val="22"/>
          <w:szCs w:val="16"/>
          <w:u w:val="single"/>
          <w:lang w:eastAsia="cs-CZ"/>
        </w:rPr>
        <w:t>Mladiství mimo školu i zaměstnání</w:t>
      </w:r>
    </w:p>
    <w:p w14:paraId="040AD3ED" w14:textId="77777777" w:rsidR="00CC169C"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Popis</w:t>
      </w:r>
      <w:r>
        <w:rPr>
          <w:rFonts w:ascii="Verdana" w:hAnsi="Verdana"/>
          <w:sz w:val="20"/>
          <w:szCs w:val="16"/>
          <w:lang w:eastAsia="cs-CZ"/>
        </w:rPr>
        <w:t>: Podíl mladistvých ve věku 15-24 let, kteří nejsou studenty ani zaměstnanci</w:t>
      </w:r>
    </w:p>
    <w:p w14:paraId="2E70E804" w14:textId="77777777" w:rsidR="00CC169C"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Zdroj dat</w:t>
      </w:r>
      <w:r>
        <w:rPr>
          <w:rFonts w:ascii="Verdana" w:hAnsi="Verdana"/>
          <w:sz w:val="20"/>
          <w:szCs w:val="16"/>
          <w:lang w:eastAsia="cs-CZ"/>
        </w:rPr>
        <w:t>: Světová banka</w:t>
      </w:r>
    </w:p>
    <w:p w14:paraId="3C81AEC8" w14:textId="18E02B19" w:rsidR="00CC169C"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Poslední známý údaj v ČR</w:t>
      </w:r>
      <w:r>
        <w:rPr>
          <w:rFonts w:ascii="Verdana" w:hAnsi="Verdana"/>
          <w:sz w:val="20"/>
          <w:szCs w:val="16"/>
          <w:lang w:eastAsia="cs-CZ"/>
        </w:rPr>
        <w:t>: 6,5 (2021)</w:t>
      </w:r>
    </w:p>
    <w:p w14:paraId="0E5F202F" w14:textId="77777777" w:rsidR="00941305" w:rsidRDefault="00941305" w:rsidP="00941305">
      <w:pPr>
        <w:spacing w:after="0" w:line="360" w:lineRule="auto"/>
        <w:jc w:val="both"/>
        <w:rPr>
          <w:rFonts w:ascii="Verdana" w:hAnsi="Verdana"/>
          <w:sz w:val="20"/>
          <w:szCs w:val="16"/>
          <w:lang w:eastAsia="cs-CZ"/>
        </w:rPr>
      </w:pPr>
      <w:r>
        <w:rPr>
          <w:rFonts w:ascii="Verdana" w:hAnsi="Verdana"/>
          <w:b/>
          <w:sz w:val="20"/>
          <w:szCs w:val="16"/>
          <w:lang w:eastAsia="cs-CZ"/>
        </w:rPr>
        <w:t>Odhad efektu propadu reálných mezd:</w:t>
      </w:r>
    </w:p>
    <w:p w14:paraId="561AF384" w14:textId="77777777" w:rsidR="00CC169C" w:rsidRDefault="00CC169C" w:rsidP="00CC169C">
      <w:pPr>
        <w:spacing w:after="0" w:line="360" w:lineRule="auto"/>
        <w:jc w:val="both"/>
        <w:rPr>
          <w:rFonts w:ascii="Verdana" w:hAnsi="Verdana"/>
          <w:sz w:val="20"/>
          <w:szCs w:val="16"/>
          <w:lang w:eastAsia="cs-CZ"/>
        </w:rPr>
      </w:pPr>
      <w:r>
        <w:rPr>
          <w:noProof/>
          <w:lang w:eastAsia="cs-CZ"/>
        </w:rPr>
        <w:drawing>
          <wp:inline distT="0" distB="0" distL="0" distR="0" wp14:anchorId="1B112A35" wp14:editId="23AB8589">
            <wp:extent cx="3098165" cy="1858645"/>
            <wp:effectExtent l="0" t="0" r="6985" b="8255"/>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962B7F" w14:textId="2D51CC6C" w:rsidR="00CC323B" w:rsidRDefault="00CC169C" w:rsidP="00CC169C">
      <w:pPr>
        <w:spacing w:after="0" w:line="360" w:lineRule="auto"/>
        <w:jc w:val="both"/>
        <w:rPr>
          <w:rFonts w:ascii="Verdana" w:hAnsi="Verdana"/>
          <w:sz w:val="20"/>
          <w:szCs w:val="16"/>
          <w:lang w:eastAsia="cs-CZ"/>
        </w:rPr>
      </w:pPr>
      <w:r w:rsidRPr="00CC323B">
        <w:rPr>
          <w:rFonts w:ascii="Verdana" w:hAnsi="Verdana"/>
          <w:b/>
          <w:sz w:val="20"/>
          <w:szCs w:val="16"/>
          <w:lang w:eastAsia="cs-CZ"/>
        </w:rPr>
        <w:t>Interpretace výsledku</w:t>
      </w:r>
      <w:r>
        <w:rPr>
          <w:rFonts w:ascii="Verdana" w:hAnsi="Verdana"/>
          <w:sz w:val="20"/>
          <w:szCs w:val="16"/>
          <w:lang w:eastAsia="cs-CZ"/>
        </w:rPr>
        <w:t xml:space="preserve">: Nárůst podílu mladistvých mimo školu i zaměstnání celkem o </w:t>
      </w:r>
      <w:proofErr w:type="gramStart"/>
      <w:r>
        <w:rPr>
          <w:rFonts w:ascii="Verdana" w:hAnsi="Verdana"/>
          <w:sz w:val="20"/>
          <w:szCs w:val="16"/>
          <w:lang w:eastAsia="cs-CZ"/>
        </w:rPr>
        <w:t>1,6</w:t>
      </w:r>
      <w:r w:rsidR="006A1512">
        <w:rPr>
          <w:rFonts w:ascii="Verdana" w:hAnsi="Verdana"/>
          <w:sz w:val="20"/>
          <w:szCs w:val="16"/>
          <w:lang w:eastAsia="cs-CZ"/>
        </w:rPr>
        <w:t xml:space="preserve"> </w:t>
      </w:r>
      <w:r>
        <w:rPr>
          <w:rFonts w:ascii="Verdana" w:hAnsi="Verdana"/>
          <w:sz w:val="20"/>
          <w:szCs w:val="16"/>
          <w:lang w:eastAsia="cs-CZ"/>
        </w:rPr>
        <w:t>procentního</w:t>
      </w:r>
      <w:proofErr w:type="gramEnd"/>
      <w:r>
        <w:rPr>
          <w:rFonts w:ascii="Verdana" w:hAnsi="Verdana"/>
          <w:sz w:val="20"/>
          <w:szCs w:val="16"/>
          <w:lang w:eastAsia="cs-CZ"/>
        </w:rPr>
        <w:t xml:space="preserve"> bodu, tedy o 15 337 mladistvých, v</w:t>
      </w:r>
      <w:r w:rsidR="009C5E04">
        <w:rPr>
          <w:rFonts w:ascii="Verdana" w:hAnsi="Verdana"/>
          <w:sz w:val="20"/>
          <w:szCs w:val="16"/>
          <w:lang w:eastAsia="cs-CZ"/>
        </w:rPr>
        <w:t> prvním roce po poklesu reálných mezd, podíl zůstává zvýšen</w:t>
      </w:r>
      <w:r w:rsidR="0059171F">
        <w:rPr>
          <w:rFonts w:ascii="Verdana" w:hAnsi="Verdana"/>
          <w:sz w:val="20"/>
          <w:szCs w:val="16"/>
          <w:lang w:eastAsia="cs-CZ"/>
        </w:rPr>
        <w:t>ý</w:t>
      </w:r>
      <w:r w:rsidR="009C5E04">
        <w:rPr>
          <w:rFonts w:ascii="Verdana" w:hAnsi="Verdana"/>
          <w:sz w:val="20"/>
          <w:szCs w:val="16"/>
          <w:lang w:eastAsia="cs-CZ"/>
        </w:rPr>
        <w:t xml:space="preserve"> i v roce druhém a třetím</w:t>
      </w:r>
    </w:p>
    <w:p w14:paraId="7339F0BA" w14:textId="77777777" w:rsidR="00CC323B" w:rsidRDefault="00CC323B" w:rsidP="00CC323B">
      <w:pPr>
        <w:spacing w:after="0" w:line="360" w:lineRule="auto"/>
        <w:jc w:val="both"/>
        <w:rPr>
          <w:rFonts w:ascii="Verdana" w:hAnsi="Verdana"/>
          <w:sz w:val="20"/>
          <w:szCs w:val="16"/>
          <w:lang w:eastAsia="cs-CZ"/>
        </w:rPr>
      </w:pPr>
    </w:p>
    <w:p w14:paraId="68703488" w14:textId="77777777" w:rsidR="00993D93" w:rsidRDefault="00993D93">
      <w:pPr>
        <w:rPr>
          <w:rFonts w:ascii="Verdana" w:hAnsi="Verdana"/>
          <w:sz w:val="22"/>
          <w:szCs w:val="16"/>
          <w:u w:val="single"/>
          <w:lang w:eastAsia="cs-CZ"/>
        </w:rPr>
      </w:pPr>
      <w:r>
        <w:rPr>
          <w:rFonts w:ascii="Verdana" w:hAnsi="Verdana"/>
          <w:sz w:val="22"/>
          <w:szCs w:val="16"/>
          <w:u w:val="single"/>
          <w:lang w:eastAsia="cs-CZ"/>
        </w:rPr>
        <w:br w:type="page"/>
      </w:r>
    </w:p>
    <w:p w14:paraId="43CB7BAB" w14:textId="44E6E1C6" w:rsidR="00815E01" w:rsidRPr="006C15F8" w:rsidRDefault="006F2AF4" w:rsidP="00CC323B">
      <w:pPr>
        <w:spacing w:after="0" w:line="360" w:lineRule="auto"/>
        <w:jc w:val="both"/>
        <w:rPr>
          <w:rFonts w:ascii="Verdana" w:hAnsi="Verdana"/>
          <w:sz w:val="22"/>
          <w:szCs w:val="16"/>
          <w:u w:val="single"/>
          <w:lang w:eastAsia="cs-CZ"/>
        </w:rPr>
      </w:pPr>
      <w:r w:rsidRPr="006C15F8">
        <w:rPr>
          <w:rFonts w:ascii="Verdana" w:hAnsi="Verdana"/>
          <w:sz w:val="22"/>
          <w:szCs w:val="16"/>
          <w:u w:val="single"/>
          <w:lang w:eastAsia="cs-CZ"/>
        </w:rPr>
        <w:lastRenderedPageBreak/>
        <w:t>Důvěra ve vládu</w:t>
      </w:r>
    </w:p>
    <w:p w14:paraId="7054219D" w14:textId="545D8029" w:rsidR="00815E01" w:rsidRDefault="00815E01" w:rsidP="00CC323B">
      <w:pPr>
        <w:spacing w:after="0" w:line="360" w:lineRule="auto"/>
        <w:jc w:val="both"/>
        <w:rPr>
          <w:rFonts w:ascii="Verdana" w:hAnsi="Verdana"/>
          <w:sz w:val="20"/>
          <w:szCs w:val="16"/>
          <w:lang w:eastAsia="cs-CZ"/>
        </w:rPr>
      </w:pPr>
      <w:r w:rsidRPr="00CC323B">
        <w:rPr>
          <w:rFonts w:ascii="Verdana" w:hAnsi="Verdana"/>
          <w:b/>
          <w:sz w:val="20"/>
          <w:szCs w:val="16"/>
          <w:lang w:eastAsia="cs-CZ"/>
        </w:rPr>
        <w:t>Popis</w:t>
      </w:r>
      <w:r>
        <w:rPr>
          <w:rFonts w:ascii="Verdana" w:hAnsi="Verdana"/>
          <w:sz w:val="20"/>
          <w:szCs w:val="16"/>
          <w:lang w:eastAsia="cs-CZ"/>
        </w:rPr>
        <w:t xml:space="preserve">: </w:t>
      </w:r>
      <w:r w:rsidR="006C15F8">
        <w:rPr>
          <w:rFonts w:ascii="Verdana" w:hAnsi="Verdana"/>
          <w:sz w:val="20"/>
          <w:szCs w:val="16"/>
          <w:lang w:eastAsia="cs-CZ"/>
        </w:rPr>
        <w:t>P</w:t>
      </w:r>
      <w:r w:rsidR="006F2AF4">
        <w:rPr>
          <w:rFonts w:ascii="Verdana" w:hAnsi="Verdana"/>
          <w:sz w:val="20"/>
          <w:szCs w:val="16"/>
          <w:lang w:eastAsia="cs-CZ"/>
        </w:rPr>
        <w:t>odíl respondentů, kteří odpoví „Ano“ na otázku „Máte důvěru ve vládu této země?“</w:t>
      </w:r>
    </w:p>
    <w:p w14:paraId="669A83B6" w14:textId="7B336097" w:rsidR="00815E01" w:rsidRDefault="00815E01" w:rsidP="00CC323B">
      <w:pPr>
        <w:spacing w:after="0" w:line="360" w:lineRule="auto"/>
        <w:jc w:val="both"/>
        <w:rPr>
          <w:rFonts w:ascii="Verdana" w:hAnsi="Verdana"/>
          <w:sz w:val="20"/>
          <w:szCs w:val="16"/>
          <w:lang w:eastAsia="cs-CZ"/>
        </w:rPr>
      </w:pPr>
      <w:r w:rsidRPr="00CC323B">
        <w:rPr>
          <w:rFonts w:ascii="Verdana" w:hAnsi="Verdana"/>
          <w:b/>
          <w:sz w:val="20"/>
          <w:szCs w:val="16"/>
          <w:lang w:eastAsia="cs-CZ"/>
        </w:rPr>
        <w:t>Zdroj dat</w:t>
      </w:r>
      <w:r>
        <w:rPr>
          <w:rFonts w:ascii="Verdana" w:hAnsi="Verdana"/>
          <w:sz w:val="20"/>
          <w:szCs w:val="16"/>
          <w:lang w:eastAsia="cs-CZ"/>
        </w:rPr>
        <w:t xml:space="preserve">: </w:t>
      </w:r>
      <w:r w:rsidR="006F2AF4">
        <w:rPr>
          <w:rFonts w:ascii="Verdana" w:hAnsi="Verdana"/>
          <w:sz w:val="20"/>
          <w:szCs w:val="16"/>
          <w:lang w:eastAsia="cs-CZ"/>
        </w:rPr>
        <w:t>OECD</w:t>
      </w:r>
    </w:p>
    <w:p w14:paraId="50BBCABD" w14:textId="376FC80E" w:rsidR="00815E01" w:rsidRDefault="00815E01" w:rsidP="00CC323B">
      <w:pPr>
        <w:spacing w:after="0" w:line="360" w:lineRule="auto"/>
        <w:jc w:val="both"/>
        <w:rPr>
          <w:rFonts w:ascii="Verdana" w:hAnsi="Verdana"/>
          <w:sz w:val="20"/>
          <w:szCs w:val="16"/>
          <w:lang w:eastAsia="cs-CZ"/>
        </w:rPr>
      </w:pPr>
      <w:r w:rsidRPr="00CC323B">
        <w:rPr>
          <w:rFonts w:ascii="Verdana" w:hAnsi="Verdana"/>
          <w:b/>
          <w:sz w:val="20"/>
          <w:szCs w:val="16"/>
          <w:lang w:eastAsia="cs-CZ"/>
        </w:rPr>
        <w:t>Poslední známý údaj v ČR</w:t>
      </w:r>
      <w:r>
        <w:rPr>
          <w:rFonts w:ascii="Verdana" w:hAnsi="Verdana"/>
          <w:sz w:val="20"/>
          <w:szCs w:val="16"/>
          <w:lang w:eastAsia="cs-CZ"/>
        </w:rPr>
        <w:t xml:space="preserve">: </w:t>
      </w:r>
      <w:r w:rsidR="006F2AF4">
        <w:rPr>
          <w:rFonts w:ascii="Verdana" w:hAnsi="Verdana"/>
          <w:sz w:val="20"/>
          <w:szCs w:val="16"/>
          <w:lang w:eastAsia="cs-CZ"/>
        </w:rPr>
        <w:t>28,4</w:t>
      </w:r>
      <w:r w:rsidR="006C15F8">
        <w:rPr>
          <w:rFonts w:ascii="Verdana" w:hAnsi="Verdana"/>
          <w:sz w:val="20"/>
          <w:szCs w:val="16"/>
          <w:lang w:eastAsia="cs-CZ"/>
        </w:rPr>
        <w:t xml:space="preserve"> %</w:t>
      </w:r>
      <w:r>
        <w:rPr>
          <w:rFonts w:ascii="Verdana" w:hAnsi="Verdana"/>
          <w:sz w:val="20"/>
          <w:szCs w:val="16"/>
          <w:lang w:eastAsia="cs-CZ"/>
        </w:rPr>
        <w:t xml:space="preserve"> (202</w:t>
      </w:r>
      <w:r w:rsidR="006F2AF4">
        <w:rPr>
          <w:rFonts w:ascii="Verdana" w:hAnsi="Verdana"/>
          <w:sz w:val="20"/>
          <w:szCs w:val="16"/>
          <w:lang w:eastAsia="cs-CZ"/>
        </w:rPr>
        <w:t>1</w:t>
      </w:r>
      <w:r>
        <w:rPr>
          <w:rFonts w:ascii="Verdana" w:hAnsi="Verdana"/>
          <w:sz w:val="20"/>
          <w:szCs w:val="16"/>
          <w:lang w:eastAsia="cs-CZ"/>
        </w:rPr>
        <w:t>)</w:t>
      </w:r>
    </w:p>
    <w:p w14:paraId="50A9F23A" w14:textId="77777777" w:rsidR="00941305" w:rsidRDefault="00941305" w:rsidP="00941305">
      <w:pPr>
        <w:spacing w:after="0" w:line="360" w:lineRule="auto"/>
        <w:jc w:val="both"/>
        <w:rPr>
          <w:rFonts w:ascii="Verdana" w:hAnsi="Verdana"/>
          <w:sz w:val="20"/>
          <w:szCs w:val="16"/>
          <w:lang w:eastAsia="cs-CZ"/>
        </w:rPr>
      </w:pPr>
      <w:r>
        <w:rPr>
          <w:rFonts w:ascii="Verdana" w:hAnsi="Verdana"/>
          <w:b/>
          <w:sz w:val="20"/>
          <w:szCs w:val="16"/>
          <w:lang w:eastAsia="cs-CZ"/>
        </w:rPr>
        <w:t>Odhad efektu propadu reálných mezd:</w:t>
      </w:r>
    </w:p>
    <w:p w14:paraId="4F5D8488" w14:textId="39913AA7" w:rsidR="00815E01" w:rsidRDefault="006F2AF4" w:rsidP="00CC323B">
      <w:pPr>
        <w:spacing w:after="0" w:line="360" w:lineRule="auto"/>
        <w:jc w:val="both"/>
        <w:rPr>
          <w:rFonts w:ascii="Verdana" w:hAnsi="Verdana"/>
          <w:sz w:val="20"/>
          <w:szCs w:val="16"/>
          <w:lang w:eastAsia="cs-CZ"/>
        </w:rPr>
      </w:pPr>
      <w:r>
        <w:rPr>
          <w:noProof/>
          <w:lang w:eastAsia="cs-CZ"/>
        </w:rPr>
        <w:drawing>
          <wp:inline distT="0" distB="0" distL="0" distR="0" wp14:anchorId="1383F728" wp14:editId="0FF4C90C">
            <wp:extent cx="3098165" cy="1858645"/>
            <wp:effectExtent l="0" t="0" r="6985" b="8255"/>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B2475F" w14:textId="361C1EEE" w:rsidR="00815E01" w:rsidRDefault="00815E01" w:rsidP="00CC323B">
      <w:pPr>
        <w:spacing w:after="0" w:line="360" w:lineRule="auto"/>
        <w:jc w:val="both"/>
        <w:rPr>
          <w:rFonts w:ascii="Verdana" w:hAnsi="Verdana"/>
          <w:sz w:val="20"/>
          <w:szCs w:val="16"/>
          <w:lang w:eastAsia="cs-CZ"/>
        </w:rPr>
      </w:pPr>
      <w:r w:rsidRPr="00CC323B">
        <w:rPr>
          <w:rFonts w:ascii="Verdana" w:hAnsi="Verdana"/>
          <w:b/>
          <w:sz w:val="20"/>
          <w:szCs w:val="16"/>
          <w:lang w:eastAsia="cs-CZ"/>
        </w:rPr>
        <w:t>Interpretace výsledku</w:t>
      </w:r>
      <w:r>
        <w:rPr>
          <w:rFonts w:ascii="Verdana" w:hAnsi="Verdana"/>
          <w:sz w:val="20"/>
          <w:szCs w:val="16"/>
          <w:lang w:eastAsia="cs-CZ"/>
        </w:rPr>
        <w:t xml:space="preserve">: </w:t>
      </w:r>
      <w:r w:rsidR="006C15F8">
        <w:rPr>
          <w:rFonts w:ascii="Verdana" w:hAnsi="Verdana"/>
          <w:sz w:val="20"/>
          <w:szCs w:val="16"/>
          <w:lang w:eastAsia="cs-CZ"/>
        </w:rPr>
        <w:t>P</w:t>
      </w:r>
      <w:r w:rsidR="006F2AF4">
        <w:rPr>
          <w:rFonts w:ascii="Verdana" w:hAnsi="Verdana"/>
          <w:sz w:val="20"/>
          <w:szCs w:val="16"/>
          <w:lang w:eastAsia="cs-CZ"/>
        </w:rPr>
        <w:t xml:space="preserve">okles důvěry ve vládu </w:t>
      </w:r>
      <w:r>
        <w:rPr>
          <w:rFonts w:ascii="Verdana" w:hAnsi="Verdana"/>
          <w:sz w:val="20"/>
          <w:szCs w:val="16"/>
          <w:lang w:eastAsia="cs-CZ"/>
        </w:rPr>
        <w:t xml:space="preserve">o </w:t>
      </w:r>
      <w:proofErr w:type="gramStart"/>
      <w:r w:rsidR="0059171F">
        <w:rPr>
          <w:rFonts w:ascii="Verdana" w:hAnsi="Verdana"/>
          <w:sz w:val="20"/>
          <w:szCs w:val="16"/>
          <w:lang w:eastAsia="cs-CZ"/>
        </w:rPr>
        <w:t>12,4</w:t>
      </w:r>
      <w:r w:rsidR="006A1512">
        <w:rPr>
          <w:rFonts w:ascii="Verdana" w:hAnsi="Verdana"/>
          <w:sz w:val="20"/>
          <w:szCs w:val="16"/>
          <w:lang w:eastAsia="cs-CZ"/>
        </w:rPr>
        <w:t xml:space="preserve"> </w:t>
      </w:r>
      <w:r w:rsidR="006F2AF4">
        <w:rPr>
          <w:rFonts w:ascii="Verdana" w:hAnsi="Verdana"/>
          <w:sz w:val="20"/>
          <w:szCs w:val="16"/>
          <w:lang w:eastAsia="cs-CZ"/>
        </w:rPr>
        <w:t>procentního</w:t>
      </w:r>
      <w:proofErr w:type="gramEnd"/>
      <w:r w:rsidR="006F2AF4">
        <w:rPr>
          <w:rFonts w:ascii="Verdana" w:hAnsi="Verdana"/>
          <w:sz w:val="20"/>
          <w:szCs w:val="16"/>
          <w:lang w:eastAsia="cs-CZ"/>
        </w:rPr>
        <w:t xml:space="preserve"> bodu v</w:t>
      </w:r>
      <w:r w:rsidR="0059171F">
        <w:rPr>
          <w:rFonts w:ascii="Verdana" w:hAnsi="Verdana"/>
          <w:sz w:val="20"/>
          <w:szCs w:val="16"/>
          <w:lang w:eastAsia="cs-CZ"/>
        </w:rPr>
        <w:t> prvním roce po poklesu reálné mzdy, důvěra zůstává snížená i v roce druhém, k normálu se vrací v roce třetím</w:t>
      </w:r>
    </w:p>
    <w:p w14:paraId="7139A468" w14:textId="5910AE0F" w:rsidR="00815E01" w:rsidRDefault="00815E01" w:rsidP="00CC323B">
      <w:pPr>
        <w:spacing w:after="0" w:line="360" w:lineRule="auto"/>
        <w:jc w:val="both"/>
        <w:rPr>
          <w:rFonts w:ascii="Verdana" w:hAnsi="Verdana"/>
          <w:sz w:val="20"/>
          <w:szCs w:val="16"/>
          <w:lang w:eastAsia="cs-CZ"/>
        </w:rPr>
      </w:pPr>
    </w:p>
    <w:p w14:paraId="0A0525F8" w14:textId="23C34219" w:rsidR="006C15F8" w:rsidRPr="006C15F8" w:rsidRDefault="006C15F8" w:rsidP="006C15F8">
      <w:pPr>
        <w:spacing w:after="0" w:line="360" w:lineRule="auto"/>
        <w:jc w:val="both"/>
        <w:rPr>
          <w:rFonts w:ascii="Verdana" w:hAnsi="Verdana"/>
          <w:sz w:val="22"/>
          <w:szCs w:val="16"/>
          <w:u w:val="single"/>
          <w:lang w:eastAsia="cs-CZ"/>
        </w:rPr>
      </w:pPr>
      <w:r>
        <w:rPr>
          <w:rFonts w:ascii="Verdana" w:hAnsi="Verdana"/>
          <w:sz w:val="22"/>
          <w:szCs w:val="16"/>
          <w:u w:val="single"/>
          <w:lang w:eastAsia="cs-CZ"/>
        </w:rPr>
        <w:t>Úmrtnost novorozenců</w:t>
      </w:r>
    </w:p>
    <w:p w14:paraId="028E60A2" w14:textId="6B8940CC" w:rsidR="006C15F8" w:rsidRDefault="006C15F8" w:rsidP="006C15F8">
      <w:pPr>
        <w:spacing w:after="0" w:line="360" w:lineRule="auto"/>
        <w:jc w:val="both"/>
        <w:rPr>
          <w:rFonts w:ascii="Verdana" w:hAnsi="Verdana"/>
          <w:sz w:val="20"/>
          <w:szCs w:val="16"/>
          <w:lang w:eastAsia="cs-CZ"/>
        </w:rPr>
      </w:pPr>
      <w:r w:rsidRPr="00CC323B">
        <w:rPr>
          <w:rFonts w:ascii="Verdana" w:hAnsi="Verdana"/>
          <w:b/>
          <w:sz w:val="20"/>
          <w:szCs w:val="16"/>
          <w:lang w:eastAsia="cs-CZ"/>
        </w:rPr>
        <w:t>Popis</w:t>
      </w:r>
      <w:r>
        <w:rPr>
          <w:rFonts w:ascii="Verdana" w:hAnsi="Verdana"/>
          <w:sz w:val="20"/>
          <w:szCs w:val="16"/>
          <w:lang w:eastAsia="cs-CZ"/>
        </w:rPr>
        <w:t>: Počet novorozenců, kteří se nedožijí 1 roku věku, na 1000 živě narozených</w:t>
      </w:r>
    </w:p>
    <w:p w14:paraId="2B1DC98C" w14:textId="610EAF9B" w:rsidR="006C15F8" w:rsidRDefault="006C15F8" w:rsidP="006C15F8">
      <w:pPr>
        <w:spacing w:after="0" w:line="360" w:lineRule="auto"/>
        <w:jc w:val="both"/>
        <w:rPr>
          <w:rFonts w:ascii="Verdana" w:hAnsi="Verdana"/>
          <w:sz w:val="20"/>
          <w:szCs w:val="16"/>
          <w:lang w:eastAsia="cs-CZ"/>
        </w:rPr>
      </w:pPr>
      <w:r w:rsidRPr="00CC323B">
        <w:rPr>
          <w:rFonts w:ascii="Verdana" w:hAnsi="Verdana"/>
          <w:b/>
          <w:sz w:val="20"/>
          <w:szCs w:val="16"/>
          <w:lang w:eastAsia="cs-CZ"/>
        </w:rPr>
        <w:t>Zdroj dat</w:t>
      </w:r>
      <w:r>
        <w:rPr>
          <w:rFonts w:ascii="Verdana" w:hAnsi="Verdana"/>
          <w:sz w:val="20"/>
          <w:szCs w:val="16"/>
          <w:lang w:eastAsia="cs-CZ"/>
        </w:rPr>
        <w:t>: Světová banka</w:t>
      </w:r>
    </w:p>
    <w:p w14:paraId="30C9B729" w14:textId="00EE1B2F" w:rsidR="006C15F8" w:rsidRDefault="006C15F8" w:rsidP="006C15F8">
      <w:pPr>
        <w:spacing w:after="0" w:line="360" w:lineRule="auto"/>
        <w:jc w:val="both"/>
        <w:rPr>
          <w:rFonts w:ascii="Verdana" w:hAnsi="Verdana"/>
          <w:sz w:val="20"/>
          <w:szCs w:val="16"/>
          <w:lang w:eastAsia="cs-CZ"/>
        </w:rPr>
      </w:pPr>
      <w:r w:rsidRPr="00CC323B">
        <w:rPr>
          <w:rFonts w:ascii="Verdana" w:hAnsi="Verdana"/>
          <w:b/>
          <w:sz w:val="20"/>
          <w:szCs w:val="16"/>
          <w:lang w:eastAsia="cs-CZ"/>
        </w:rPr>
        <w:t>Poslední známý údaj v ČR</w:t>
      </w:r>
      <w:r>
        <w:rPr>
          <w:rFonts w:ascii="Verdana" w:hAnsi="Verdana"/>
          <w:sz w:val="20"/>
          <w:szCs w:val="16"/>
          <w:lang w:eastAsia="cs-CZ"/>
        </w:rPr>
        <w:t>: 2,3 (2020)</w:t>
      </w:r>
    </w:p>
    <w:p w14:paraId="043C6A1F" w14:textId="60719481" w:rsidR="006C15F8" w:rsidRDefault="006C15F8" w:rsidP="006C15F8">
      <w:pPr>
        <w:spacing w:after="0" w:line="360" w:lineRule="auto"/>
        <w:jc w:val="both"/>
        <w:rPr>
          <w:rFonts w:ascii="Verdana" w:hAnsi="Verdana"/>
          <w:sz w:val="20"/>
          <w:szCs w:val="16"/>
          <w:lang w:eastAsia="cs-CZ"/>
        </w:rPr>
      </w:pPr>
      <w:r w:rsidRPr="00CC323B">
        <w:rPr>
          <w:rFonts w:ascii="Verdana" w:hAnsi="Verdana"/>
          <w:b/>
          <w:sz w:val="20"/>
          <w:szCs w:val="16"/>
          <w:lang w:eastAsia="cs-CZ"/>
        </w:rPr>
        <w:t>Interpretace výsledku</w:t>
      </w:r>
      <w:r>
        <w:rPr>
          <w:rFonts w:ascii="Verdana" w:hAnsi="Verdana"/>
          <w:sz w:val="20"/>
          <w:szCs w:val="16"/>
          <w:lang w:eastAsia="cs-CZ"/>
        </w:rPr>
        <w:t xml:space="preserve">: Nebyl nalezen efekt poklesu reálné mzdy na </w:t>
      </w:r>
      <w:r w:rsidR="0059171F">
        <w:rPr>
          <w:rFonts w:ascii="Verdana" w:hAnsi="Verdana"/>
          <w:sz w:val="20"/>
          <w:szCs w:val="16"/>
          <w:lang w:eastAsia="cs-CZ"/>
        </w:rPr>
        <w:t>úmrtnost novorozenců</w:t>
      </w:r>
    </w:p>
    <w:p w14:paraId="4C79CA2A" w14:textId="7D6603FA" w:rsidR="000A4CDF" w:rsidRDefault="000A4CDF" w:rsidP="00CC323B">
      <w:pPr>
        <w:spacing w:after="0" w:line="360" w:lineRule="auto"/>
        <w:jc w:val="both"/>
        <w:rPr>
          <w:rFonts w:ascii="Verdana" w:hAnsi="Verdana"/>
          <w:sz w:val="20"/>
          <w:szCs w:val="16"/>
          <w:lang w:eastAsia="cs-CZ"/>
        </w:rPr>
      </w:pPr>
    </w:p>
    <w:p w14:paraId="6D804306" w14:textId="2F2902D7" w:rsidR="006C15F8" w:rsidRPr="006C15F8" w:rsidRDefault="006C15F8" w:rsidP="006C15F8">
      <w:pPr>
        <w:spacing w:after="0" w:line="360" w:lineRule="auto"/>
        <w:jc w:val="both"/>
        <w:rPr>
          <w:rFonts w:ascii="Verdana" w:hAnsi="Verdana"/>
          <w:sz w:val="22"/>
          <w:szCs w:val="16"/>
          <w:u w:val="single"/>
          <w:lang w:eastAsia="cs-CZ"/>
        </w:rPr>
      </w:pPr>
      <w:r>
        <w:rPr>
          <w:rFonts w:ascii="Verdana" w:hAnsi="Verdana"/>
          <w:sz w:val="22"/>
          <w:szCs w:val="16"/>
          <w:u w:val="single"/>
          <w:lang w:eastAsia="cs-CZ"/>
        </w:rPr>
        <w:t>Naděje dožití</w:t>
      </w:r>
    </w:p>
    <w:p w14:paraId="6C982C12" w14:textId="31B000E8" w:rsidR="006C15F8" w:rsidRDefault="006C15F8" w:rsidP="006C15F8">
      <w:pPr>
        <w:spacing w:after="0" w:line="360" w:lineRule="auto"/>
        <w:jc w:val="both"/>
        <w:rPr>
          <w:rFonts w:ascii="Verdana" w:hAnsi="Verdana"/>
          <w:sz w:val="20"/>
          <w:szCs w:val="16"/>
          <w:lang w:eastAsia="cs-CZ"/>
        </w:rPr>
      </w:pPr>
      <w:r w:rsidRPr="00CC323B">
        <w:rPr>
          <w:rFonts w:ascii="Verdana" w:hAnsi="Verdana"/>
          <w:b/>
          <w:sz w:val="20"/>
          <w:szCs w:val="16"/>
          <w:lang w:eastAsia="cs-CZ"/>
        </w:rPr>
        <w:t>Popis</w:t>
      </w:r>
      <w:r>
        <w:rPr>
          <w:rFonts w:ascii="Verdana" w:hAnsi="Verdana"/>
          <w:sz w:val="20"/>
          <w:szCs w:val="16"/>
          <w:lang w:eastAsia="cs-CZ"/>
        </w:rPr>
        <w:t>: Přepokládaná délka dožití nově narozených</w:t>
      </w:r>
    </w:p>
    <w:p w14:paraId="24DFA826" w14:textId="3A7A84A8" w:rsidR="006C15F8" w:rsidRDefault="006C15F8" w:rsidP="006C15F8">
      <w:pPr>
        <w:spacing w:after="0" w:line="360" w:lineRule="auto"/>
        <w:jc w:val="both"/>
        <w:rPr>
          <w:rFonts w:ascii="Verdana" w:hAnsi="Verdana"/>
          <w:sz w:val="20"/>
          <w:szCs w:val="16"/>
          <w:lang w:eastAsia="cs-CZ"/>
        </w:rPr>
      </w:pPr>
      <w:r w:rsidRPr="00CC323B">
        <w:rPr>
          <w:rFonts w:ascii="Verdana" w:hAnsi="Verdana"/>
          <w:b/>
          <w:sz w:val="20"/>
          <w:szCs w:val="16"/>
          <w:lang w:eastAsia="cs-CZ"/>
        </w:rPr>
        <w:t>Zdroj dat</w:t>
      </w:r>
      <w:r>
        <w:rPr>
          <w:rFonts w:ascii="Verdana" w:hAnsi="Verdana"/>
          <w:sz w:val="20"/>
          <w:szCs w:val="16"/>
          <w:lang w:eastAsia="cs-CZ"/>
        </w:rPr>
        <w:t>: Světová banka</w:t>
      </w:r>
    </w:p>
    <w:p w14:paraId="33428C27" w14:textId="5F619E50" w:rsidR="006C15F8" w:rsidRDefault="006C15F8" w:rsidP="006C15F8">
      <w:pPr>
        <w:spacing w:after="0" w:line="360" w:lineRule="auto"/>
        <w:jc w:val="both"/>
        <w:rPr>
          <w:rFonts w:ascii="Verdana" w:hAnsi="Verdana"/>
          <w:sz w:val="20"/>
          <w:szCs w:val="16"/>
          <w:lang w:eastAsia="cs-CZ"/>
        </w:rPr>
      </w:pPr>
      <w:r w:rsidRPr="00CC323B">
        <w:rPr>
          <w:rFonts w:ascii="Verdana" w:hAnsi="Verdana"/>
          <w:b/>
          <w:sz w:val="20"/>
          <w:szCs w:val="16"/>
          <w:lang w:eastAsia="cs-CZ"/>
        </w:rPr>
        <w:t>Poslední známý údaj v ČR</w:t>
      </w:r>
      <w:r>
        <w:rPr>
          <w:rFonts w:ascii="Verdana" w:hAnsi="Verdana"/>
          <w:sz w:val="20"/>
          <w:szCs w:val="16"/>
          <w:lang w:eastAsia="cs-CZ"/>
        </w:rPr>
        <w:t>: 78,2 let (2020)</w:t>
      </w:r>
    </w:p>
    <w:p w14:paraId="1B077F8C" w14:textId="2EB838E2" w:rsidR="006C15F8" w:rsidRDefault="006C15F8" w:rsidP="006C15F8">
      <w:pPr>
        <w:spacing w:after="0" w:line="360" w:lineRule="auto"/>
        <w:jc w:val="both"/>
        <w:rPr>
          <w:rFonts w:ascii="Verdana" w:hAnsi="Verdana"/>
          <w:sz w:val="20"/>
          <w:szCs w:val="16"/>
          <w:lang w:eastAsia="cs-CZ"/>
        </w:rPr>
      </w:pPr>
      <w:r w:rsidRPr="00CC323B">
        <w:rPr>
          <w:rFonts w:ascii="Verdana" w:hAnsi="Verdana"/>
          <w:b/>
          <w:sz w:val="20"/>
          <w:szCs w:val="16"/>
          <w:lang w:eastAsia="cs-CZ"/>
        </w:rPr>
        <w:t>Interpretace výsledku</w:t>
      </w:r>
      <w:r>
        <w:rPr>
          <w:rFonts w:ascii="Verdana" w:hAnsi="Verdana"/>
          <w:sz w:val="20"/>
          <w:szCs w:val="16"/>
          <w:lang w:eastAsia="cs-CZ"/>
        </w:rPr>
        <w:t xml:space="preserve">: Nebyl nalezen efekt poklesu reálné mzdy na </w:t>
      </w:r>
      <w:r w:rsidR="0059171F">
        <w:rPr>
          <w:rFonts w:ascii="Verdana" w:hAnsi="Verdana"/>
          <w:sz w:val="20"/>
          <w:szCs w:val="16"/>
          <w:lang w:eastAsia="cs-CZ"/>
        </w:rPr>
        <w:t>naději dožití</w:t>
      </w:r>
    </w:p>
    <w:p w14:paraId="28CA0495" w14:textId="77777777" w:rsidR="006C15F8" w:rsidRDefault="006C15F8" w:rsidP="006C15F8">
      <w:pPr>
        <w:spacing w:after="0" w:line="360" w:lineRule="auto"/>
        <w:jc w:val="both"/>
        <w:rPr>
          <w:rFonts w:ascii="Verdana" w:hAnsi="Verdana"/>
          <w:sz w:val="20"/>
          <w:szCs w:val="16"/>
          <w:lang w:eastAsia="cs-CZ"/>
        </w:rPr>
      </w:pPr>
    </w:p>
    <w:p w14:paraId="7E1D53DD" w14:textId="77777777" w:rsidR="00993D93" w:rsidRDefault="00993D93" w:rsidP="006C15F8">
      <w:pPr>
        <w:spacing w:after="0" w:line="360" w:lineRule="auto"/>
        <w:jc w:val="both"/>
        <w:rPr>
          <w:rFonts w:ascii="Verdana" w:hAnsi="Verdana"/>
          <w:sz w:val="22"/>
          <w:szCs w:val="16"/>
          <w:u w:val="single"/>
          <w:lang w:eastAsia="cs-CZ"/>
        </w:rPr>
      </w:pPr>
    </w:p>
    <w:p w14:paraId="1C5656F4" w14:textId="77777777" w:rsidR="00993D93" w:rsidRDefault="00993D93" w:rsidP="006C15F8">
      <w:pPr>
        <w:spacing w:after="0" w:line="360" w:lineRule="auto"/>
        <w:jc w:val="both"/>
        <w:rPr>
          <w:rFonts w:ascii="Verdana" w:hAnsi="Verdana"/>
          <w:sz w:val="22"/>
          <w:szCs w:val="16"/>
          <w:u w:val="single"/>
          <w:lang w:eastAsia="cs-CZ"/>
        </w:rPr>
      </w:pPr>
    </w:p>
    <w:p w14:paraId="2BC8B1F1" w14:textId="58452B79" w:rsidR="006C15F8" w:rsidRPr="006C15F8" w:rsidRDefault="006C15F8" w:rsidP="006C15F8">
      <w:pPr>
        <w:spacing w:after="0" w:line="360" w:lineRule="auto"/>
        <w:jc w:val="both"/>
        <w:rPr>
          <w:rFonts w:ascii="Verdana" w:hAnsi="Verdana"/>
          <w:sz w:val="22"/>
          <w:szCs w:val="16"/>
          <w:u w:val="single"/>
          <w:lang w:eastAsia="cs-CZ"/>
        </w:rPr>
      </w:pPr>
      <w:r>
        <w:rPr>
          <w:rFonts w:ascii="Verdana" w:hAnsi="Verdana"/>
          <w:sz w:val="22"/>
          <w:szCs w:val="16"/>
          <w:u w:val="single"/>
          <w:lang w:eastAsia="cs-CZ"/>
        </w:rPr>
        <w:t>Vraždy</w:t>
      </w:r>
    </w:p>
    <w:p w14:paraId="4D5F2C43" w14:textId="29E25A1E" w:rsidR="006C15F8" w:rsidRDefault="006C15F8" w:rsidP="006C15F8">
      <w:pPr>
        <w:spacing w:after="0" w:line="360" w:lineRule="auto"/>
        <w:jc w:val="both"/>
        <w:rPr>
          <w:rFonts w:ascii="Verdana" w:hAnsi="Verdana"/>
          <w:sz w:val="20"/>
          <w:szCs w:val="16"/>
          <w:lang w:eastAsia="cs-CZ"/>
        </w:rPr>
      </w:pPr>
      <w:r w:rsidRPr="00CC323B">
        <w:rPr>
          <w:rFonts w:ascii="Verdana" w:hAnsi="Verdana"/>
          <w:b/>
          <w:sz w:val="20"/>
          <w:szCs w:val="16"/>
          <w:lang w:eastAsia="cs-CZ"/>
        </w:rPr>
        <w:t>Popis</w:t>
      </w:r>
      <w:r>
        <w:rPr>
          <w:rFonts w:ascii="Verdana" w:hAnsi="Verdana"/>
          <w:sz w:val="20"/>
          <w:szCs w:val="16"/>
          <w:lang w:eastAsia="cs-CZ"/>
        </w:rPr>
        <w:t>: Roční četnost vražd evidovaných policií na 100 tisíc obyvatel</w:t>
      </w:r>
    </w:p>
    <w:p w14:paraId="5731EBA4" w14:textId="77777777" w:rsidR="006C15F8" w:rsidRDefault="006C15F8" w:rsidP="006C15F8">
      <w:pPr>
        <w:spacing w:after="0" w:line="360" w:lineRule="auto"/>
        <w:jc w:val="both"/>
        <w:rPr>
          <w:rFonts w:ascii="Verdana" w:hAnsi="Verdana"/>
          <w:sz w:val="20"/>
          <w:szCs w:val="16"/>
          <w:lang w:eastAsia="cs-CZ"/>
        </w:rPr>
      </w:pPr>
      <w:r w:rsidRPr="00CC323B">
        <w:rPr>
          <w:rFonts w:ascii="Verdana" w:hAnsi="Verdana"/>
          <w:b/>
          <w:sz w:val="20"/>
          <w:szCs w:val="16"/>
          <w:lang w:eastAsia="cs-CZ"/>
        </w:rPr>
        <w:t>Zdroj dat</w:t>
      </w:r>
      <w:r>
        <w:rPr>
          <w:rFonts w:ascii="Verdana" w:hAnsi="Verdana"/>
          <w:sz w:val="20"/>
          <w:szCs w:val="16"/>
          <w:lang w:eastAsia="cs-CZ"/>
        </w:rPr>
        <w:t xml:space="preserve">: </w:t>
      </w:r>
      <w:proofErr w:type="spellStart"/>
      <w:r>
        <w:rPr>
          <w:rFonts w:ascii="Verdana" w:hAnsi="Verdana"/>
          <w:sz w:val="20"/>
          <w:szCs w:val="16"/>
          <w:lang w:eastAsia="cs-CZ"/>
        </w:rPr>
        <w:t>Eurostat</w:t>
      </w:r>
      <w:proofErr w:type="spellEnd"/>
    </w:p>
    <w:p w14:paraId="3129E299" w14:textId="0AAB2273" w:rsidR="006C15F8" w:rsidRDefault="006C15F8" w:rsidP="006C15F8">
      <w:pPr>
        <w:spacing w:after="0" w:line="360" w:lineRule="auto"/>
        <w:jc w:val="both"/>
        <w:rPr>
          <w:rFonts w:ascii="Verdana" w:hAnsi="Verdana"/>
          <w:sz w:val="20"/>
          <w:szCs w:val="16"/>
          <w:lang w:eastAsia="cs-CZ"/>
        </w:rPr>
      </w:pPr>
      <w:r w:rsidRPr="00CC323B">
        <w:rPr>
          <w:rFonts w:ascii="Verdana" w:hAnsi="Verdana"/>
          <w:b/>
          <w:sz w:val="20"/>
          <w:szCs w:val="16"/>
          <w:lang w:eastAsia="cs-CZ"/>
        </w:rPr>
        <w:t>Poslední známý údaj v ČR</w:t>
      </w:r>
      <w:r>
        <w:rPr>
          <w:rFonts w:ascii="Verdana" w:hAnsi="Verdana"/>
          <w:sz w:val="20"/>
          <w:szCs w:val="16"/>
          <w:lang w:eastAsia="cs-CZ"/>
        </w:rPr>
        <w:t>: 0,53 (2020)</w:t>
      </w:r>
    </w:p>
    <w:p w14:paraId="2EE6D044" w14:textId="05753BD8" w:rsidR="006C15F8" w:rsidRDefault="006C15F8" w:rsidP="006C15F8">
      <w:pPr>
        <w:spacing w:after="0" w:line="360" w:lineRule="auto"/>
        <w:jc w:val="both"/>
        <w:rPr>
          <w:rFonts w:ascii="Verdana" w:hAnsi="Verdana"/>
          <w:sz w:val="20"/>
          <w:szCs w:val="16"/>
          <w:lang w:eastAsia="cs-CZ"/>
        </w:rPr>
      </w:pPr>
      <w:r w:rsidRPr="00CC323B">
        <w:rPr>
          <w:rFonts w:ascii="Verdana" w:hAnsi="Verdana"/>
          <w:b/>
          <w:sz w:val="20"/>
          <w:szCs w:val="16"/>
          <w:lang w:eastAsia="cs-CZ"/>
        </w:rPr>
        <w:t>Interpretace výsledku</w:t>
      </w:r>
      <w:r>
        <w:rPr>
          <w:rFonts w:ascii="Verdana" w:hAnsi="Verdana"/>
          <w:sz w:val="20"/>
          <w:szCs w:val="16"/>
          <w:lang w:eastAsia="cs-CZ"/>
        </w:rPr>
        <w:t xml:space="preserve">: Nebyl nalezen efekt poklesu reálné mzdy na </w:t>
      </w:r>
      <w:r w:rsidR="0059171F">
        <w:rPr>
          <w:rFonts w:ascii="Verdana" w:hAnsi="Verdana"/>
          <w:sz w:val="20"/>
          <w:szCs w:val="16"/>
          <w:lang w:eastAsia="cs-CZ"/>
        </w:rPr>
        <w:t>četnost vražd</w:t>
      </w:r>
    </w:p>
    <w:p w14:paraId="3A8559E7" w14:textId="3C985B75" w:rsidR="000A4CDF" w:rsidRDefault="000A4CDF" w:rsidP="00CC323B">
      <w:pPr>
        <w:spacing w:after="0" w:line="360" w:lineRule="auto"/>
        <w:jc w:val="both"/>
        <w:rPr>
          <w:rFonts w:ascii="Verdana" w:hAnsi="Verdana"/>
          <w:sz w:val="20"/>
          <w:szCs w:val="16"/>
          <w:lang w:eastAsia="cs-CZ"/>
        </w:rPr>
      </w:pPr>
    </w:p>
    <w:p w14:paraId="58389A7B" w14:textId="77777777" w:rsidR="00993D93" w:rsidRDefault="00993D93">
      <w:pPr>
        <w:rPr>
          <w:rFonts w:ascii="Verdana" w:eastAsiaTheme="majorEastAsia" w:hAnsi="Verdana" w:cstheme="majorBidi"/>
          <w:b/>
          <w:sz w:val="22"/>
          <w:szCs w:val="24"/>
        </w:rPr>
      </w:pPr>
      <w:r>
        <w:rPr>
          <w:rFonts w:ascii="Verdana" w:hAnsi="Verdana"/>
          <w:b/>
          <w:sz w:val="22"/>
        </w:rPr>
        <w:br w:type="page"/>
      </w:r>
    </w:p>
    <w:p w14:paraId="199C085A" w14:textId="4756C368" w:rsidR="00993D93" w:rsidRPr="009C5A9F" w:rsidRDefault="00993D93" w:rsidP="00993D93">
      <w:pPr>
        <w:pStyle w:val="Nadpis3"/>
        <w:spacing w:before="120" w:after="160" w:line="240" w:lineRule="auto"/>
        <w:rPr>
          <w:rFonts w:ascii="Verdana" w:hAnsi="Verdana"/>
          <w:b/>
        </w:rPr>
      </w:pPr>
      <w:r>
        <w:rPr>
          <w:rFonts w:ascii="Verdana" w:hAnsi="Verdana"/>
          <w:b/>
          <w:sz w:val="22"/>
        </w:rPr>
        <w:lastRenderedPageBreak/>
        <w:t>Závěr</w:t>
      </w:r>
    </w:p>
    <w:p w14:paraId="1F5A06EA" w14:textId="32E51FF7" w:rsidR="00993D93" w:rsidRDefault="00993D93" w:rsidP="00993D93">
      <w:pPr>
        <w:pStyle w:val="Nadpis3"/>
        <w:spacing w:before="120" w:after="160" w:line="360" w:lineRule="auto"/>
        <w:jc w:val="both"/>
        <w:rPr>
          <w:rFonts w:ascii="Verdana" w:hAnsi="Verdana"/>
          <w:sz w:val="20"/>
          <w:szCs w:val="16"/>
          <w:lang w:eastAsia="cs-CZ"/>
        </w:rPr>
      </w:pPr>
      <w:r>
        <w:rPr>
          <w:rFonts w:ascii="Verdana" w:hAnsi="Verdana"/>
          <w:sz w:val="20"/>
          <w:szCs w:val="16"/>
          <w:lang w:eastAsia="cs-CZ"/>
        </w:rPr>
        <w:t>Česko se v roce 2022 v důsledku dozvuků pandemie a války na Ukrajině potýká s </w:t>
      </w:r>
      <w:r w:rsidRPr="00265FCD">
        <w:rPr>
          <w:rFonts w:ascii="Verdana" w:hAnsi="Verdana"/>
          <w:b/>
          <w:sz w:val="20"/>
          <w:szCs w:val="16"/>
          <w:lang w:eastAsia="cs-CZ"/>
        </w:rPr>
        <w:t>razantním poklesem reálných příjmů obyvatel</w:t>
      </w:r>
      <w:r>
        <w:rPr>
          <w:rFonts w:ascii="Verdana" w:hAnsi="Verdana"/>
          <w:sz w:val="20"/>
          <w:szCs w:val="16"/>
          <w:lang w:eastAsia="cs-CZ"/>
        </w:rPr>
        <w:t xml:space="preserve">, když růst průměrné mzdy ani zdaleka nestačí na pokrytí růstu cen. V rámci zemí OECD byl ve třetím čtvrtletí roku 2022 propad českých reálných příjmů dokonce </w:t>
      </w:r>
      <w:r w:rsidRPr="00265FCD">
        <w:rPr>
          <w:rFonts w:ascii="Verdana" w:hAnsi="Verdana"/>
          <w:b/>
          <w:sz w:val="20"/>
          <w:szCs w:val="16"/>
          <w:lang w:eastAsia="cs-CZ"/>
        </w:rPr>
        <w:t>nejhlubší ze sledovaných zemí</w:t>
      </w:r>
      <w:r>
        <w:rPr>
          <w:rFonts w:ascii="Verdana" w:hAnsi="Verdana"/>
          <w:sz w:val="20"/>
          <w:szCs w:val="16"/>
          <w:lang w:eastAsia="cs-CZ"/>
        </w:rPr>
        <w:t xml:space="preserve">, když dosáhl -8,9 %. Za celý rok počítáme s hodnotou -8,3 %, což bude s výjimkou období post-socialistické transformace </w:t>
      </w:r>
      <w:r w:rsidRPr="00265FCD">
        <w:rPr>
          <w:rFonts w:ascii="Verdana" w:hAnsi="Verdana"/>
          <w:b/>
          <w:sz w:val="20"/>
          <w:szCs w:val="16"/>
          <w:lang w:eastAsia="cs-CZ"/>
        </w:rPr>
        <w:t>suverénně nejhorší výsledek v</w:t>
      </w:r>
      <w:r w:rsidR="00A03B09">
        <w:rPr>
          <w:rFonts w:ascii="Verdana" w:hAnsi="Verdana"/>
          <w:b/>
          <w:sz w:val="20"/>
          <w:szCs w:val="16"/>
          <w:lang w:eastAsia="cs-CZ"/>
        </w:rPr>
        <w:t xml:space="preserve"> moderní </w:t>
      </w:r>
      <w:r w:rsidRPr="00265FCD">
        <w:rPr>
          <w:rFonts w:ascii="Verdana" w:hAnsi="Verdana"/>
          <w:b/>
          <w:sz w:val="20"/>
          <w:szCs w:val="16"/>
          <w:lang w:eastAsia="cs-CZ"/>
        </w:rPr>
        <w:t>historii Česka</w:t>
      </w:r>
      <w:r>
        <w:rPr>
          <w:rFonts w:ascii="Verdana" w:hAnsi="Verdana"/>
          <w:sz w:val="20"/>
          <w:szCs w:val="16"/>
          <w:lang w:eastAsia="cs-CZ"/>
        </w:rPr>
        <w:t xml:space="preserve">. K zachování životní úrovně z roku 2021 tak bude </w:t>
      </w:r>
      <w:r w:rsidR="00265FCD">
        <w:rPr>
          <w:rFonts w:ascii="Verdana" w:hAnsi="Verdana"/>
          <w:sz w:val="20"/>
          <w:szCs w:val="16"/>
          <w:lang w:eastAsia="cs-CZ"/>
        </w:rPr>
        <w:t>Čechům</w:t>
      </w:r>
      <w:r>
        <w:rPr>
          <w:rFonts w:ascii="Verdana" w:hAnsi="Verdana"/>
          <w:sz w:val="20"/>
          <w:szCs w:val="16"/>
          <w:lang w:eastAsia="cs-CZ"/>
        </w:rPr>
        <w:t xml:space="preserve"> podle našeho odhadu </w:t>
      </w:r>
      <w:r w:rsidR="00265FCD">
        <w:rPr>
          <w:rFonts w:ascii="Verdana" w:hAnsi="Verdana"/>
          <w:sz w:val="20"/>
          <w:szCs w:val="16"/>
          <w:lang w:eastAsia="cs-CZ"/>
        </w:rPr>
        <w:t xml:space="preserve">ve mzdách </w:t>
      </w:r>
      <w:r w:rsidRPr="00265FCD">
        <w:rPr>
          <w:rFonts w:ascii="Verdana" w:hAnsi="Verdana"/>
          <w:b/>
          <w:sz w:val="20"/>
          <w:szCs w:val="16"/>
          <w:lang w:eastAsia="cs-CZ"/>
        </w:rPr>
        <w:t>scházet celkem zhruba 170 mld. Kč</w:t>
      </w:r>
      <w:r>
        <w:rPr>
          <w:rFonts w:ascii="Verdana" w:hAnsi="Verdana"/>
          <w:sz w:val="20"/>
          <w:szCs w:val="16"/>
          <w:lang w:eastAsia="cs-CZ"/>
        </w:rPr>
        <w:t xml:space="preserve">, tedy na každého průměrného zaměstnance přibližně 40 tisíc Kč ročně, tedy 3300 Kč měsíčně. Kupní síla průměrného Čecha se tak skokově </w:t>
      </w:r>
      <w:r w:rsidRPr="00265FCD">
        <w:rPr>
          <w:rFonts w:ascii="Verdana" w:hAnsi="Verdana"/>
          <w:b/>
          <w:sz w:val="20"/>
          <w:szCs w:val="16"/>
          <w:lang w:eastAsia="cs-CZ"/>
        </w:rPr>
        <w:t>vrátí zhruba na úroveň roku 2018</w:t>
      </w:r>
      <w:r>
        <w:rPr>
          <w:rFonts w:ascii="Verdana" w:hAnsi="Verdana"/>
          <w:sz w:val="20"/>
          <w:szCs w:val="16"/>
          <w:lang w:eastAsia="cs-CZ"/>
        </w:rPr>
        <w:t>.</w:t>
      </w:r>
    </w:p>
    <w:p w14:paraId="13D72E25" w14:textId="60E17F43" w:rsidR="007D70DD" w:rsidRDefault="00993D93" w:rsidP="007D70DD">
      <w:pPr>
        <w:pStyle w:val="Nadpis3"/>
        <w:spacing w:before="120" w:after="160" w:line="360" w:lineRule="auto"/>
        <w:jc w:val="both"/>
        <w:rPr>
          <w:rFonts w:ascii="Verdana" w:hAnsi="Verdana"/>
          <w:sz w:val="20"/>
          <w:szCs w:val="16"/>
          <w:lang w:eastAsia="cs-CZ"/>
        </w:rPr>
      </w:pPr>
      <w:r>
        <w:rPr>
          <w:rFonts w:ascii="Verdana" w:hAnsi="Verdana"/>
          <w:sz w:val="20"/>
          <w:szCs w:val="16"/>
          <w:lang w:eastAsia="cs-CZ"/>
        </w:rPr>
        <w:t>Pokles reálné mzdy, obzvláště pak takto výrazný, se nevyhnutelně projeví i na kvalitě života obyvatel. Na základě zkušeností, které země Evropské unie s dopady změn reálné mzdy v uplynulých desetiletích mají, jsme se pokusili odhadnout</w:t>
      </w:r>
      <w:r w:rsidR="00BC1CD2">
        <w:rPr>
          <w:rFonts w:ascii="Verdana" w:hAnsi="Verdana"/>
          <w:sz w:val="20"/>
          <w:szCs w:val="16"/>
          <w:lang w:eastAsia="cs-CZ"/>
        </w:rPr>
        <w:t xml:space="preserve">, </w:t>
      </w:r>
      <w:r w:rsidR="00BC1CD2" w:rsidRPr="00265FCD">
        <w:rPr>
          <w:rFonts w:ascii="Verdana" w:hAnsi="Verdana"/>
          <w:b/>
          <w:sz w:val="20"/>
          <w:szCs w:val="16"/>
          <w:lang w:eastAsia="cs-CZ"/>
        </w:rPr>
        <w:t>jak citelně se propad příjmů</w:t>
      </w:r>
      <w:r w:rsidRPr="00265FCD">
        <w:rPr>
          <w:rFonts w:ascii="Verdana" w:hAnsi="Verdana"/>
          <w:b/>
          <w:sz w:val="20"/>
          <w:szCs w:val="16"/>
          <w:lang w:eastAsia="cs-CZ"/>
        </w:rPr>
        <w:t xml:space="preserve"> může projevit</w:t>
      </w:r>
      <w:r w:rsidR="00BC1CD2" w:rsidRPr="00265FCD">
        <w:rPr>
          <w:rFonts w:ascii="Verdana" w:hAnsi="Verdana"/>
          <w:b/>
          <w:sz w:val="20"/>
          <w:szCs w:val="16"/>
          <w:lang w:eastAsia="cs-CZ"/>
        </w:rPr>
        <w:t xml:space="preserve"> na české společnosti</w:t>
      </w:r>
      <w:r>
        <w:rPr>
          <w:rFonts w:ascii="Verdana" w:hAnsi="Verdana"/>
          <w:sz w:val="20"/>
          <w:szCs w:val="16"/>
          <w:lang w:eastAsia="cs-CZ"/>
        </w:rPr>
        <w:t>.</w:t>
      </w:r>
      <w:r w:rsidR="00BC1CD2">
        <w:rPr>
          <w:rFonts w:ascii="Verdana" w:hAnsi="Verdana"/>
          <w:sz w:val="20"/>
          <w:szCs w:val="16"/>
          <w:lang w:eastAsia="cs-CZ"/>
        </w:rPr>
        <w:t xml:space="preserve"> Pro </w:t>
      </w:r>
      <w:r w:rsidR="00EB1EA7">
        <w:rPr>
          <w:rFonts w:ascii="Verdana" w:hAnsi="Verdana"/>
          <w:sz w:val="20"/>
          <w:szCs w:val="16"/>
          <w:lang w:eastAsia="cs-CZ"/>
        </w:rPr>
        <w:t xml:space="preserve">tento účel jsme se pokusili vyčíslit, jak silný může být dopad očekávaného poklesu reálných mezd v roce 2022 na </w:t>
      </w:r>
      <w:r w:rsidR="00F96A09" w:rsidRPr="00265FCD">
        <w:rPr>
          <w:rFonts w:ascii="Verdana" w:hAnsi="Verdana"/>
          <w:b/>
          <w:sz w:val="20"/>
          <w:szCs w:val="16"/>
          <w:lang w:eastAsia="cs-CZ"/>
        </w:rPr>
        <w:t>deset indikátorů kvality života</w:t>
      </w:r>
      <w:r w:rsidR="00A03B09">
        <w:rPr>
          <w:rFonts w:ascii="Verdana" w:hAnsi="Verdana"/>
          <w:b/>
          <w:sz w:val="20"/>
          <w:szCs w:val="16"/>
          <w:lang w:eastAsia="cs-CZ"/>
        </w:rPr>
        <w:t xml:space="preserve"> v následujících třech letech</w:t>
      </w:r>
      <w:r w:rsidR="00F96A09">
        <w:rPr>
          <w:rFonts w:ascii="Verdana" w:hAnsi="Verdana"/>
          <w:sz w:val="20"/>
          <w:szCs w:val="16"/>
          <w:lang w:eastAsia="cs-CZ"/>
        </w:rPr>
        <w:t xml:space="preserve">. Podle našich výsledků </w:t>
      </w:r>
      <w:r w:rsidR="00F96A09" w:rsidRPr="00265FCD">
        <w:rPr>
          <w:rFonts w:ascii="Verdana" w:hAnsi="Verdana"/>
          <w:b/>
          <w:sz w:val="20"/>
          <w:szCs w:val="16"/>
          <w:lang w:eastAsia="cs-CZ"/>
        </w:rPr>
        <w:t>lze zhoršení očekávat u sedmi z nich</w:t>
      </w:r>
      <w:r w:rsidR="00F96A09">
        <w:rPr>
          <w:rFonts w:ascii="Verdana" w:hAnsi="Verdana"/>
          <w:sz w:val="20"/>
          <w:szCs w:val="16"/>
          <w:lang w:eastAsia="cs-CZ"/>
        </w:rPr>
        <w:t xml:space="preserve">, zatímco </w:t>
      </w:r>
      <w:r w:rsidR="00F96A09" w:rsidRPr="00265FCD">
        <w:rPr>
          <w:rFonts w:ascii="Verdana" w:hAnsi="Verdana"/>
          <w:b/>
          <w:sz w:val="20"/>
          <w:szCs w:val="16"/>
          <w:lang w:eastAsia="cs-CZ"/>
        </w:rPr>
        <w:t>zbylé tři by měly zůstat nedotčeny</w:t>
      </w:r>
      <w:r w:rsidR="00265FCD" w:rsidRPr="00265FCD">
        <w:rPr>
          <w:rFonts w:ascii="Verdana" w:hAnsi="Verdana"/>
          <w:sz w:val="20"/>
          <w:szCs w:val="16"/>
          <w:lang w:eastAsia="cs-CZ"/>
        </w:rPr>
        <w:t>.</w:t>
      </w:r>
    </w:p>
    <w:p w14:paraId="57421F1C" w14:textId="67CE9716" w:rsidR="007D70DD" w:rsidRDefault="007D70DD" w:rsidP="007D70DD">
      <w:pPr>
        <w:spacing w:line="360" w:lineRule="auto"/>
        <w:jc w:val="both"/>
        <w:rPr>
          <w:rFonts w:ascii="Verdana" w:hAnsi="Verdana"/>
          <w:sz w:val="20"/>
          <w:szCs w:val="20"/>
          <w:lang w:eastAsia="cs-CZ"/>
        </w:rPr>
      </w:pPr>
      <w:r w:rsidRPr="00265FCD">
        <w:rPr>
          <w:rFonts w:ascii="Verdana" w:hAnsi="Verdana"/>
          <w:b/>
          <w:sz w:val="20"/>
          <w:szCs w:val="20"/>
          <w:lang w:eastAsia="cs-CZ"/>
        </w:rPr>
        <w:t>Četnost krádeží</w:t>
      </w:r>
      <w:r w:rsidRPr="007D70DD">
        <w:rPr>
          <w:rFonts w:ascii="Verdana" w:hAnsi="Verdana"/>
          <w:sz w:val="20"/>
          <w:szCs w:val="20"/>
          <w:lang w:eastAsia="cs-CZ"/>
        </w:rPr>
        <w:t xml:space="preserve"> evidovaných policií by vlivem propadu příjmů měla narůst celkem o </w:t>
      </w:r>
      <w:r w:rsidR="00A03B09">
        <w:rPr>
          <w:rFonts w:ascii="Verdana" w:hAnsi="Verdana"/>
          <w:sz w:val="20"/>
          <w:szCs w:val="20"/>
          <w:lang w:eastAsia="cs-CZ"/>
        </w:rPr>
        <w:t xml:space="preserve">zhruba </w:t>
      </w:r>
      <w:r w:rsidRPr="007D70DD">
        <w:rPr>
          <w:rFonts w:ascii="Verdana" w:hAnsi="Verdana"/>
          <w:sz w:val="20"/>
          <w:szCs w:val="20"/>
          <w:lang w:eastAsia="cs-CZ"/>
        </w:rPr>
        <w:t>74</w:t>
      </w:r>
      <w:r w:rsidR="00A03B09">
        <w:rPr>
          <w:rFonts w:ascii="Verdana" w:hAnsi="Verdana"/>
          <w:sz w:val="20"/>
          <w:szCs w:val="20"/>
          <w:lang w:eastAsia="cs-CZ"/>
        </w:rPr>
        <w:t>00</w:t>
      </w:r>
      <w:r w:rsidRPr="007D70DD">
        <w:rPr>
          <w:rFonts w:ascii="Verdana" w:hAnsi="Verdana"/>
          <w:sz w:val="20"/>
          <w:szCs w:val="20"/>
          <w:lang w:eastAsia="cs-CZ"/>
        </w:rPr>
        <w:t xml:space="preserve">, přičemž nejsilnější nárůst připadá na rok </w:t>
      </w:r>
      <w:r w:rsidRPr="007D70DD">
        <w:rPr>
          <w:rFonts w:ascii="Verdana" w:hAnsi="Verdana"/>
          <w:sz w:val="20"/>
          <w:szCs w:val="20"/>
          <w:lang w:eastAsia="cs-CZ"/>
        </w:rPr>
        <w:t>2022, méně pak na rok 2023, a návrat k normálu lze čekat v roce 2024.</w:t>
      </w:r>
    </w:p>
    <w:p w14:paraId="01D80228" w14:textId="2360D2AB" w:rsidR="007D70DD" w:rsidRDefault="007D70DD" w:rsidP="007D70DD">
      <w:pPr>
        <w:spacing w:line="360" w:lineRule="auto"/>
        <w:jc w:val="both"/>
        <w:rPr>
          <w:rFonts w:ascii="Verdana" w:hAnsi="Verdana"/>
          <w:sz w:val="20"/>
          <w:szCs w:val="20"/>
          <w:lang w:eastAsia="cs-CZ"/>
        </w:rPr>
      </w:pPr>
      <w:r w:rsidRPr="00265FCD">
        <w:rPr>
          <w:rFonts w:ascii="Verdana" w:hAnsi="Verdana"/>
          <w:b/>
          <w:sz w:val="20"/>
          <w:szCs w:val="20"/>
          <w:lang w:eastAsia="cs-CZ"/>
        </w:rPr>
        <w:t>Spotřeba alkoholu</w:t>
      </w:r>
      <w:r>
        <w:rPr>
          <w:rFonts w:ascii="Verdana" w:hAnsi="Verdana"/>
          <w:sz w:val="20"/>
          <w:szCs w:val="20"/>
          <w:lang w:eastAsia="cs-CZ"/>
        </w:rPr>
        <w:t xml:space="preserve"> by měla narůst celkem o 0,35 litru čistého alkoholu na osobu a rok, přičemž celý efekt je koncentrován do roku 2022, naopak v roce 2023 následuje mírný pokles.</w:t>
      </w:r>
    </w:p>
    <w:p w14:paraId="1D4FA74D" w14:textId="23D02379" w:rsidR="007D70DD" w:rsidRDefault="007D70DD" w:rsidP="007D70DD">
      <w:pPr>
        <w:spacing w:line="360" w:lineRule="auto"/>
        <w:jc w:val="both"/>
        <w:rPr>
          <w:rFonts w:ascii="Verdana" w:hAnsi="Verdana"/>
          <w:sz w:val="20"/>
          <w:szCs w:val="20"/>
          <w:lang w:eastAsia="cs-CZ"/>
        </w:rPr>
      </w:pPr>
      <w:r w:rsidRPr="00265FCD">
        <w:rPr>
          <w:rFonts w:ascii="Verdana" w:hAnsi="Verdana"/>
          <w:b/>
          <w:sz w:val="20"/>
          <w:szCs w:val="20"/>
          <w:lang w:eastAsia="cs-CZ"/>
        </w:rPr>
        <w:t>Četnost rozvodů</w:t>
      </w:r>
      <w:r>
        <w:rPr>
          <w:rFonts w:ascii="Verdana" w:hAnsi="Verdana"/>
          <w:sz w:val="20"/>
          <w:szCs w:val="20"/>
          <w:lang w:eastAsia="cs-CZ"/>
        </w:rPr>
        <w:t xml:space="preserve"> by měla narůst celkem o </w:t>
      </w:r>
      <w:r w:rsidR="00A03B09">
        <w:rPr>
          <w:rFonts w:ascii="Verdana" w:hAnsi="Verdana"/>
          <w:sz w:val="20"/>
          <w:szCs w:val="20"/>
          <w:lang w:eastAsia="cs-CZ"/>
        </w:rPr>
        <w:t>zhruba 2100</w:t>
      </w:r>
      <w:r>
        <w:rPr>
          <w:rFonts w:ascii="Verdana" w:hAnsi="Verdana"/>
          <w:sz w:val="20"/>
          <w:szCs w:val="20"/>
          <w:lang w:eastAsia="cs-CZ"/>
        </w:rPr>
        <w:t>, přičemž v </w:t>
      </w:r>
      <w:r w:rsidR="00265FCD">
        <w:rPr>
          <w:rFonts w:ascii="Verdana" w:hAnsi="Verdana"/>
          <w:sz w:val="20"/>
          <w:szCs w:val="20"/>
          <w:lang w:eastAsia="cs-CZ"/>
        </w:rPr>
        <w:t>letech</w:t>
      </w:r>
      <w:r>
        <w:rPr>
          <w:rFonts w:ascii="Verdana" w:hAnsi="Verdana"/>
          <w:sz w:val="20"/>
          <w:szCs w:val="20"/>
          <w:lang w:eastAsia="cs-CZ"/>
        </w:rPr>
        <w:t xml:space="preserve"> 2022</w:t>
      </w:r>
      <w:r w:rsidR="00265FCD">
        <w:rPr>
          <w:rFonts w:ascii="Verdana" w:hAnsi="Verdana"/>
          <w:sz w:val="20"/>
          <w:szCs w:val="20"/>
          <w:lang w:eastAsia="cs-CZ"/>
        </w:rPr>
        <w:t xml:space="preserve"> a 2024</w:t>
      </w:r>
      <w:r>
        <w:rPr>
          <w:rFonts w:ascii="Verdana" w:hAnsi="Verdana"/>
          <w:sz w:val="20"/>
          <w:szCs w:val="20"/>
          <w:lang w:eastAsia="cs-CZ"/>
        </w:rPr>
        <w:t xml:space="preserve"> jich oproti normálu bude naopak méně, ovšem v roce 2023 výrazně více.</w:t>
      </w:r>
    </w:p>
    <w:p w14:paraId="7C141304" w14:textId="185C7FEC" w:rsidR="007D70DD" w:rsidRDefault="007D70DD" w:rsidP="007D70DD">
      <w:pPr>
        <w:spacing w:line="360" w:lineRule="auto"/>
        <w:jc w:val="both"/>
        <w:rPr>
          <w:rFonts w:ascii="Verdana" w:hAnsi="Verdana"/>
          <w:sz w:val="20"/>
          <w:szCs w:val="20"/>
          <w:lang w:eastAsia="cs-CZ"/>
        </w:rPr>
      </w:pPr>
      <w:r>
        <w:rPr>
          <w:rFonts w:ascii="Verdana" w:hAnsi="Verdana"/>
          <w:sz w:val="20"/>
          <w:szCs w:val="20"/>
          <w:lang w:eastAsia="cs-CZ"/>
        </w:rPr>
        <w:t xml:space="preserve">Podíl Čechů, kteří kladně hodnotí svůj </w:t>
      </w:r>
      <w:r w:rsidRPr="00265FCD">
        <w:rPr>
          <w:rFonts w:ascii="Verdana" w:hAnsi="Verdana"/>
          <w:b/>
          <w:sz w:val="20"/>
          <w:szCs w:val="20"/>
          <w:lang w:eastAsia="cs-CZ"/>
        </w:rPr>
        <w:t>zdravotní stav</w:t>
      </w:r>
      <w:r>
        <w:rPr>
          <w:rFonts w:ascii="Verdana" w:hAnsi="Verdana"/>
          <w:sz w:val="20"/>
          <w:szCs w:val="20"/>
          <w:lang w:eastAsia="cs-CZ"/>
        </w:rPr>
        <w:t xml:space="preserve">, bude v roce 2022 nižší o zhruba </w:t>
      </w:r>
      <w:proofErr w:type="gramStart"/>
      <w:r>
        <w:rPr>
          <w:rFonts w:ascii="Verdana" w:hAnsi="Verdana"/>
          <w:sz w:val="20"/>
          <w:szCs w:val="20"/>
          <w:lang w:eastAsia="cs-CZ"/>
        </w:rPr>
        <w:t>3</w:t>
      </w:r>
      <w:r w:rsidR="00FD0789">
        <w:rPr>
          <w:rFonts w:ascii="Verdana" w:hAnsi="Verdana"/>
          <w:sz w:val="20"/>
          <w:szCs w:val="20"/>
          <w:lang w:eastAsia="cs-CZ"/>
        </w:rPr>
        <w:t xml:space="preserve"> </w:t>
      </w:r>
      <w:r>
        <w:rPr>
          <w:rFonts w:ascii="Verdana" w:hAnsi="Verdana"/>
          <w:sz w:val="20"/>
          <w:szCs w:val="20"/>
          <w:lang w:eastAsia="cs-CZ"/>
        </w:rPr>
        <w:t>procentní</w:t>
      </w:r>
      <w:proofErr w:type="gramEnd"/>
      <w:r>
        <w:rPr>
          <w:rFonts w:ascii="Verdana" w:hAnsi="Verdana"/>
          <w:sz w:val="20"/>
          <w:szCs w:val="20"/>
          <w:lang w:eastAsia="cs-CZ"/>
        </w:rPr>
        <w:t xml:space="preserve"> body, v roce 2023 o 3,5</w:t>
      </w:r>
      <w:r w:rsidR="00FD0789">
        <w:rPr>
          <w:rFonts w:ascii="Verdana" w:hAnsi="Verdana"/>
          <w:sz w:val="20"/>
          <w:szCs w:val="20"/>
          <w:lang w:eastAsia="cs-CZ"/>
        </w:rPr>
        <w:t xml:space="preserve"> </w:t>
      </w:r>
      <w:r>
        <w:rPr>
          <w:rFonts w:ascii="Verdana" w:hAnsi="Verdana"/>
          <w:sz w:val="20"/>
          <w:szCs w:val="20"/>
          <w:lang w:eastAsia="cs-CZ"/>
        </w:rPr>
        <w:t>procentního bodu a ještě v roce 2024 o 1</w:t>
      </w:r>
      <w:r w:rsidR="006A1512">
        <w:rPr>
          <w:rFonts w:ascii="Verdana" w:hAnsi="Verdana"/>
          <w:sz w:val="20"/>
          <w:szCs w:val="20"/>
          <w:lang w:eastAsia="cs-CZ"/>
        </w:rPr>
        <w:t xml:space="preserve"> </w:t>
      </w:r>
      <w:r>
        <w:rPr>
          <w:rFonts w:ascii="Verdana" w:hAnsi="Verdana"/>
          <w:sz w:val="20"/>
          <w:szCs w:val="20"/>
          <w:lang w:eastAsia="cs-CZ"/>
        </w:rPr>
        <w:t>procentní bod.</w:t>
      </w:r>
    </w:p>
    <w:p w14:paraId="51B8F673" w14:textId="74971BD2" w:rsidR="007D70DD" w:rsidRDefault="007D70DD" w:rsidP="007D70DD">
      <w:pPr>
        <w:spacing w:line="360" w:lineRule="auto"/>
        <w:jc w:val="both"/>
        <w:rPr>
          <w:rFonts w:ascii="Verdana" w:hAnsi="Verdana"/>
          <w:sz w:val="20"/>
          <w:szCs w:val="20"/>
          <w:lang w:eastAsia="cs-CZ"/>
        </w:rPr>
      </w:pPr>
      <w:r w:rsidRPr="00265FCD">
        <w:rPr>
          <w:rFonts w:ascii="Verdana" w:hAnsi="Verdana"/>
          <w:b/>
          <w:sz w:val="20"/>
          <w:szCs w:val="20"/>
          <w:lang w:eastAsia="cs-CZ"/>
        </w:rPr>
        <w:t>Četnost sebevražd</w:t>
      </w:r>
      <w:r>
        <w:rPr>
          <w:rFonts w:ascii="Verdana" w:hAnsi="Verdana"/>
          <w:sz w:val="20"/>
          <w:szCs w:val="20"/>
          <w:lang w:eastAsia="cs-CZ"/>
        </w:rPr>
        <w:t xml:space="preserve"> v Česku naroste celkem o</w:t>
      </w:r>
      <w:r w:rsidR="00CA1BE5">
        <w:rPr>
          <w:rFonts w:ascii="Verdana" w:hAnsi="Verdana"/>
          <w:sz w:val="20"/>
          <w:szCs w:val="20"/>
          <w:lang w:eastAsia="cs-CZ"/>
        </w:rPr>
        <w:t> </w:t>
      </w:r>
      <w:r w:rsidR="00060AD9">
        <w:rPr>
          <w:rFonts w:ascii="Verdana" w:hAnsi="Verdana"/>
          <w:sz w:val="20"/>
          <w:szCs w:val="20"/>
          <w:lang w:eastAsia="cs-CZ"/>
        </w:rPr>
        <w:t>54</w:t>
      </w:r>
      <w:r>
        <w:rPr>
          <w:rFonts w:ascii="Verdana" w:hAnsi="Verdana"/>
          <w:sz w:val="20"/>
          <w:szCs w:val="20"/>
          <w:lang w:eastAsia="cs-CZ"/>
        </w:rPr>
        <w:t>, přičemž k nárůstu dojde již v roce 2022, výrazněji pak v roce 2023 a naopak k poklesu dojde v roce 2024.</w:t>
      </w:r>
    </w:p>
    <w:p w14:paraId="6BB46020" w14:textId="07F998F9" w:rsidR="007D70DD" w:rsidRDefault="007D70DD" w:rsidP="007D70DD">
      <w:pPr>
        <w:spacing w:line="360" w:lineRule="auto"/>
        <w:jc w:val="both"/>
        <w:rPr>
          <w:rFonts w:ascii="Verdana" w:hAnsi="Verdana"/>
          <w:sz w:val="20"/>
          <w:szCs w:val="20"/>
          <w:lang w:eastAsia="cs-CZ"/>
        </w:rPr>
      </w:pPr>
      <w:r>
        <w:rPr>
          <w:rFonts w:ascii="Verdana" w:hAnsi="Verdana"/>
          <w:sz w:val="20"/>
          <w:szCs w:val="20"/>
          <w:lang w:eastAsia="cs-CZ"/>
        </w:rPr>
        <w:t xml:space="preserve">Podíl </w:t>
      </w:r>
      <w:r w:rsidRPr="00265FCD">
        <w:rPr>
          <w:rFonts w:ascii="Verdana" w:hAnsi="Verdana"/>
          <w:b/>
          <w:sz w:val="20"/>
          <w:szCs w:val="20"/>
          <w:lang w:eastAsia="cs-CZ"/>
        </w:rPr>
        <w:t>mladistvých, kteří nedocházejí ani do školy, ani do zaměstnání</w:t>
      </w:r>
      <w:r>
        <w:rPr>
          <w:rFonts w:ascii="Verdana" w:hAnsi="Verdana"/>
          <w:sz w:val="20"/>
          <w:szCs w:val="20"/>
          <w:lang w:eastAsia="cs-CZ"/>
        </w:rPr>
        <w:t>, naroste v roce 2022 o přibližně 15 tisíc a tento počet se bude v následujících letech snižovat.</w:t>
      </w:r>
    </w:p>
    <w:p w14:paraId="0D6E374A" w14:textId="3A6D96B5" w:rsidR="007D70DD" w:rsidRDefault="007D70DD" w:rsidP="007D70DD">
      <w:pPr>
        <w:spacing w:line="360" w:lineRule="auto"/>
        <w:jc w:val="both"/>
        <w:rPr>
          <w:rFonts w:ascii="Verdana" w:hAnsi="Verdana"/>
          <w:sz w:val="20"/>
          <w:szCs w:val="20"/>
          <w:lang w:eastAsia="cs-CZ"/>
        </w:rPr>
      </w:pPr>
      <w:r w:rsidRPr="00265FCD">
        <w:rPr>
          <w:rFonts w:ascii="Verdana" w:hAnsi="Verdana"/>
          <w:b/>
          <w:sz w:val="20"/>
          <w:szCs w:val="20"/>
          <w:lang w:eastAsia="cs-CZ"/>
        </w:rPr>
        <w:t>Důvěra obyvatel ve vládu</w:t>
      </w:r>
      <w:r>
        <w:rPr>
          <w:rFonts w:ascii="Verdana" w:hAnsi="Verdana"/>
          <w:sz w:val="20"/>
          <w:szCs w:val="20"/>
          <w:lang w:eastAsia="cs-CZ"/>
        </w:rPr>
        <w:t xml:space="preserve"> se v roce 2022 sníží o </w:t>
      </w:r>
      <w:proofErr w:type="gramStart"/>
      <w:r>
        <w:rPr>
          <w:rFonts w:ascii="Verdana" w:hAnsi="Verdana"/>
          <w:sz w:val="20"/>
          <w:szCs w:val="20"/>
          <w:lang w:eastAsia="cs-CZ"/>
        </w:rPr>
        <w:t>12,4</w:t>
      </w:r>
      <w:r w:rsidR="00FD0789">
        <w:rPr>
          <w:rFonts w:ascii="Verdana" w:hAnsi="Verdana"/>
          <w:sz w:val="20"/>
          <w:szCs w:val="20"/>
          <w:lang w:eastAsia="cs-CZ"/>
        </w:rPr>
        <w:t xml:space="preserve"> </w:t>
      </w:r>
      <w:r>
        <w:rPr>
          <w:rFonts w:ascii="Verdana" w:hAnsi="Verdana"/>
          <w:sz w:val="20"/>
          <w:szCs w:val="20"/>
          <w:lang w:eastAsia="cs-CZ"/>
        </w:rPr>
        <w:t>procentního</w:t>
      </w:r>
      <w:proofErr w:type="gramEnd"/>
      <w:r>
        <w:rPr>
          <w:rFonts w:ascii="Verdana" w:hAnsi="Verdana"/>
          <w:sz w:val="20"/>
          <w:szCs w:val="20"/>
          <w:lang w:eastAsia="cs-CZ"/>
        </w:rPr>
        <w:t xml:space="preserve"> bodu, v roce 2023 zůstane nižší o zhruba 8</w:t>
      </w:r>
      <w:r w:rsidR="00FD0789">
        <w:rPr>
          <w:rFonts w:ascii="Verdana" w:hAnsi="Verdana"/>
          <w:sz w:val="20"/>
          <w:szCs w:val="20"/>
          <w:lang w:eastAsia="cs-CZ"/>
        </w:rPr>
        <w:t xml:space="preserve"> </w:t>
      </w:r>
      <w:r>
        <w:rPr>
          <w:rFonts w:ascii="Verdana" w:hAnsi="Verdana"/>
          <w:sz w:val="20"/>
          <w:szCs w:val="20"/>
          <w:lang w:eastAsia="cs-CZ"/>
        </w:rPr>
        <w:t>procentních bodů a k normálu se vrátí v roce 2024.</w:t>
      </w:r>
    </w:p>
    <w:p w14:paraId="12A242F5" w14:textId="64F4C4CA" w:rsidR="007D70DD" w:rsidRPr="007D70DD" w:rsidRDefault="007D70DD" w:rsidP="00B72B91">
      <w:pPr>
        <w:spacing w:line="360" w:lineRule="auto"/>
        <w:jc w:val="both"/>
        <w:rPr>
          <w:lang w:eastAsia="cs-CZ"/>
        </w:rPr>
      </w:pPr>
      <w:r w:rsidRPr="00265FCD">
        <w:rPr>
          <w:rFonts w:ascii="Verdana" w:hAnsi="Verdana"/>
          <w:b/>
          <w:sz w:val="20"/>
          <w:szCs w:val="20"/>
          <w:lang w:eastAsia="cs-CZ"/>
        </w:rPr>
        <w:t>Úmrtnost novorozenců</w:t>
      </w:r>
      <w:r>
        <w:rPr>
          <w:rFonts w:ascii="Verdana" w:hAnsi="Verdana"/>
          <w:sz w:val="20"/>
          <w:szCs w:val="20"/>
          <w:lang w:eastAsia="cs-CZ"/>
        </w:rPr>
        <w:t xml:space="preserve">, </w:t>
      </w:r>
      <w:r w:rsidRPr="00265FCD">
        <w:rPr>
          <w:rFonts w:ascii="Verdana" w:hAnsi="Verdana"/>
          <w:b/>
          <w:sz w:val="20"/>
          <w:szCs w:val="20"/>
          <w:lang w:eastAsia="cs-CZ"/>
        </w:rPr>
        <w:t>naděje</w:t>
      </w:r>
      <w:r w:rsidR="00A12DE1">
        <w:rPr>
          <w:rFonts w:ascii="Verdana" w:hAnsi="Verdana"/>
          <w:b/>
          <w:sz w:val="20"/>
          <w:szCs w:val="20"/>
          <w:lang w:eastAsia="cs-CZ"/>
        </w:rPr>
        <w:t xml:space="preserve"> </w:t>
      </w:r>
      <w:r w:rsidRPr="00265FCD">
        <w:rPr>
          <w:rFonts w:ascii="Verdana" w:hAnsi="Verdana"/>
          <w:b/>
          <w:sz w:val="20"/>
          <w:szCs w:val="20"/>
          <w:lang w:eastAsia="cs-CZ"/>
        </w:rPr>
        <w:t>dožití</w:t>
      </w:r>
      <w:r>
        <w:rPr>
          <w:rFonts w:ascii="Verdana" w:hAnsi="Verdana"/>
          <w:sz w:val="20"/>
          <w:szCs w:val="20"/>
          <w:lang w:eastAsia="cs-CZ"/>
        </w:rPr>
        <w:t xml:space="preserve"> a </w:t>
      </w:r>
      <w:r w:rsidRPr="00265FCD">
        <w:rPr>
          <w:rFonts w:ascii="Verdana" w:hAnsi="Verdana"/>
          <w:b/>
          <w:sz w:val="20"/>
          <w:szCs w:val="20"/>
          <w:lang w:eastAsia="cs-CZ"/>
        </w:rPr>
        <w:t>četnost vražd</w:t>
      </w:r>
      <w:r>
        <w:rPr>
          <w:rFonts w:ascii="Verdana" w:hAnsi="Verdana"/>
          <w:sz w:val="20"/>
          <w:szCs w:val="20"/>
          <w:lang w:eastAsia="cs-CZ"/>
        </w:rPr>
        <w:t xml:space="preserve"> by neměly propadem reálných mezd být </w:t>
      </w:r>
      <w:r w:rsidR="00265FCD">
        <w:rPr>
          <w:rFonts w:ascii="Verdana" w:hAnsi="Verdana"/>
          <w:sz w:val="20"/>
          <w:szCs w:val="20"/>
          <w:lang w:eastAsia="cs-CZ"/>
        </w:rPr>
        <w:t>ovlivněny</w:t>
      </w:r>
      <w:r>
        <w:rPr>
          <w:rFonts w:ascii="Verdana" w:hAnsi="Verdana"/>
          <w:sz w:val="20"/>
          <w:szCs w:val="20"/>
          <w:lang w:eastAsia="cs-CZ"/>
        </w:rPr>
        <w:t>.</w:t>
      </w:r>
    </w:p>
    <w:p w14:paraId="4BD549BA" w14:textId="6099562E" w:rsidR="00C90AFF" w:rsidRDefault="00C90AFF" w:rsidP="00993D93">
      <w:pPr>
        <w:pStyle w:val="Nadpis3"/>
        <w:spacing w:before="120" w:after="160" w:line="360" w:lineRule="auto"/>
        <w:jc w:val="both"/>
        <w:rPr>
          <w:rFonts w:ascii="Verdana" w:hAnsi="Verdana"/>
          <w:sz w:val="20"/>
          <w:szCs w:val="16"/>
          <w:lang w:eastAsia="cs-CZ"/>
        </w:rPr>
      </w:pPr>
      <w:r>
        <w:rPr>
          <w:rFonts w:ascii="Verdana" w:hAnsi="Verdana"/>
          <w:sz w:val="20"/>
          <w:szCs w:val="16"/>
          <w:lang w:eastAsia="cs-CZ"/>
        </w:rPr>
        <w:br w:type="page"/>
      </w:r>
    </w:p>
    <w:p w14:paraId="2E03A5DE" w14:textId="57BAB799" w:rsidR="006A36C1" w:rsidRPr="006A36C1" w:rsidRDefault="006A36C1" w:rsidP="002C1A8D">
      <w:pPr>
        <w:spacing w:line="360" w:lineRule="auto"/>
        <w:jc w:val="both"/>
        <w:rPr>
          <w:rFonts w:ascii="Verdana" w:hAnsi="Verdana"/>
          <w:sz w:val="20"/>
          <w:szCs w:val="16"/>
          <w:lang w:eastAsia="cs-CZ"/>
        </w:rPr>
        <w:sectPr w:rsidR="006A36C1" w:rsidRPr="006A36C1" w:rsidSect="002857A3">
          <w:headerReference w:type="default" r:id="rId19"/>
          <w:footerReference w:type="default" r:id="rId20"/>
          <w:pgSz w:w="11906" w:h="16838"/>
          <w:pgMar w:top="720" w:right="720" w:bottom="1701" w:left="720" w:header="567" w:footer="169" w:gutter="0"/>
          <w:cols w:num="2" w:space="708"/>
          <w:docGrid w:linePitch="360"/>
        </w:sectPr>
      </w:pPr>
    </w:p>
    <w:p w14:paraId="38CAD464" w14:textId="77777777" w:rsidR="00D64538" w:rsidRPr="009C5A9F" w:rsidRDefault="00D64538" w:rsidP="00D64538">
      <w:pPr>
        <w:spacing w:line="360" w:lineRule="auto"/>
        <w:jc w:val="both"/>
        <w:rPr>
          <w:rFonts w:ascii="Verdana" w:hAnsi="Verdana"/>
          <w:b/>
          <w:sz w:val="16"/>
          <w:szCs w:val="16"/>
          <w:lang w:eastAsia="cs-CZ"/>
        </w:rPr>
      </w:pPr>
      <w:r w:rsidRPr="009C5A9F">
        <w:rPr>
          <w:rFonts w:ascii="Verdana" w:hAnsi="Verdana"/>
          <w:b/>
          <w:sz w:val="16"/>
          <w:szCs w:val="16"/>
          <w:lang w:eastAsia="cs-CZ"/>
        </w:rPr>
        <w:lastRenderedPageBreak/>
        <w:t>Upozornění</w:t>
      </w:r>
    </w:p>
    <w:p w14:paraId="175C796F" w14:textId="299DDC60" w:rsidR="00D64538" w:rsidRPr="009C5A9F" w:rsidRDefault="00D64538" w:rsidP="00D64538">
      <w:pPr>
        <w:spacing w:line="360" w:lineRule="auto"/>
        <w:jc w:val="both"/>
        <w:rPr>
          <w:rFonts w:ascii="Verdana" w:hAnsi="Verdana"/>
          <w:sz w:val="16"/>
          <w:szCs w:val="16"/>
          <w:lang w:eastAsia="cs-CZ"/>
        </w:rPr>
      </w:pPr>
      <w:r w:rsidRPr="009C5A9F">
        <w:rPr>
          <w:rFonts w:ascii="Verdana" w:hAnsi="Verdana"/>
          <w:sz w:val="16"/>
          <w:szCs w:val="16"/>
          <w:lang w:eastAsia="cs-CZ"/>
        </w:rPr>
        <w:t>Dokument byl zpracován společností CYRRUS, a.s., obchodníkem s cennými</w:t>
      </w:r>
      <w:r w:rsidR="00CA1BE5">
        <w:rPr>
          <w:rFonts w:ascii="Verdana" w:hAnsi="Verdana"/>
          <w:sz w:val="16"/>
          <w:szCs w:val="16"/>
          <w:lang w:eastAsia="cs-CZ"/>
        </w:rPr>
        <w:t xml:space="preserve"> </w:t>
      </w:r>
      <w:r w:rsidRPr="009C5A9F">
        <w:rPr>
          <w:rFonts w:ascii="Verdana" w:hAnsi="Verdana"/>
          <w:sz w:val="16"/>
          <w:szCs w:val="16"/>
          <w:lang w:eastAsia="cs-CZ"/>
        </w:rPr>
        <w:t>papíry,</w:t>
      </w:r>
      <w:r w:rsidR="00CA1BE5">
        <w:rPr>
          <w:rFonts w:ascii="Verdana" w:hAnsi="Verdana"/>
          <w:sz w:val="16"/>
          <w:szCs w:val="16"/>
          <w:lang w:eastAsia="cs-CZ"/>
        </w:rPr>
        <w:t xml:space="preserve"> </w:t>
      </w:r>
      <w:r w:rsidRPr="009C5A9F">
        <w:rPr>
          <w:rFonts w:ascii="Verdana" w:hAnsi="Verdana"/>
          <w:sz w:val="16"/>
          <w:szCs w:val="16"/>
          <w:lang w:eastAsia="cs-CZ"/>
        </w:rPr>
        <w:t>se</w:t>
      </w:r>
      <w:r w:rsidR="00CA1BE5">
        <w:rPr>
          <w:rFonts w:ascii="Verdana" w:hAnsi="Verdana"/>
          <w:sz w:val="16"/>
          <w:szCs w:val="16"/>
          <w:lang w:eastAsia="cs-CZ"/>
        </w:rPr>
        <w:t xml:space="preserve"> </w:t>
      </w:r>
      <w:r w:rsidRPr="009C5A9F">
        <w:rPr>
          <w:rFonts w:ascii="Verdana" w:hAnsi="Verdana"/>
          <w:sz w:val="16"/>
          <w:szCs w:val="16"/>
          <w:lang w:eastAsia="cs-CZ"/>
        </w:rPr>
        <w:t>sídlem</w:t>
      </w:r>
      <w:r w:rsidR="00CA1BE5">
        <w:rPr>
          <w:rFonts w:ascii="Verdana" w:hAnsi="Verdana"/>
          <w:sz w:val="16"/>
          <w:szCs w:val="16"/>
          <w:lang w:eastAsia="cs-CZ"/>
        </w:rPr>
        <w:t xml:space="preserve"> </w:t>
      </w:r>
      <w:r w:rsidRPr="009C5A9F">
        <w:rPr>
          <w:rFonts w:ascii="Verdana" w:hAnsi="Verdana"/>
          <w:sz w:val="16"/>
          <w:szCs w:val="16"/>
          <w:lang w:eastAsia="cs-CZ"/>
        </w:rPr>
        <w:t>Brno,</w:t>
      </w:r>
      <w:r w:rsidR="00CA1BE5">
        <w:rPr>
          <w:rFonts w:ascii="Verdana" w:hAnsi="Verdana"/>
          <w:sz w:val="16"/>
          <w:szCs w:val="16"/>
          <w:lang w:eastAsia="cs-CZ"/>
        </w:rPr>
        <w:t xml:space="preserve"> </w:t>
      </w:r>
      <w:r w:rsidRPr="009C5A9F">
        <w:rPr>
          <w:rFonts w:ascii="Verdana" w:hAnsi="Verdana"/>
          <w:sz w:val="16"/>
          <w:szCs w:val="16"/>
          <w:lang w:eastAsia="cs-CZ"/>
        </w:rPr>
        <w:t>Veveří</w:t>
      </w:r>
      <w:r w:rsidR="00CA1BE5">
        <w:rPr>
          <w:rFonts w:ascii="Verdana" w:hAnsi="Verdana"/>
          <w:sz w:val="16"/>
          <w:szCs w:val="16"/>
          <w:lang w:eastAsia="cs-CZ"/>
        </w:rPr>
        <w:t xml:space="preserve"> </w:t>
      </w:r>
      <w:r w:rsidRPr="009C5A9F">
        <w:rPr>
          <w:rFonts w:ascii="Verdana" w:hAnsi="Verdana"/>
          <w:sz w:val="16"/>
          <w:szCs w:val="16"/>
          <w:lang w:eastAsia="cs-CZ"/>
        </w:rPr>
        <w:t>111 (dále</w:t>
      </w:r>
      <w:r w:rsidR="00CA1BE5">
        <w:rPr>
          <w:rFonts w:ascii="Verdana" w:hAnsi="Verdana"/>
          <w:sz w:val="16"/>
          <w:szCs w:val="16"/>
          <w:lang w:eastAsia="cs-CZ"/>
        </w:rPr>
        <w:t xml:space="preserve"> </w:t>
      </w:r>
      <w:r w:rsidRPr="009C5A9F">
        <w:rPr>
          <w:rFonts w:ascii="Verdana" w:hAnsi="Verdana"/>
          <w:sz w:val="16"/>
          <w:szCs w:val="16"/>
          <w:lang w:eastAsia="cs-CZ"/>
        </w:rPr>
        <w:t>jen „společnost“). Společnost je členem Burzy</w:t>
      </w:r>
      <w:r w:rsidR="00CA1BE5">
        <w:rPr>
          <w:rFonts w:ascii="Verdana" w:hAnsi="Verdana"/>
          <w:sz w:val="16"/>
          <w:szCs w:val="16"/>
          <w:lang w:eastAsia="cs-CZ"/>
        </w:rPr>
        <w:t xml:space="preserve"> </w:t>
      </w:r>
      <w:r w:rsidRPr="009C5A9F">
        <w:rPr>
          <w:rFonts w:ascii="Verdana" w:hAnsi="Verdana"/>
          <w:sz w:val="16"/>
          <w:szCs w:val="16"/>
          <w:lang w:eastAsia="cs-CZ"/>
        </w:rPr>
        <w:t xml:space="preserve">cenných papírů Praha, a.s. a Frankfurt </w:t>
      </w:r>
      <w:proofErr w:type="spellStart"/>
      <w:r w:rsidRPr="009C5A9F">
        <w:rPr>
          <w:rFonts w:ascii="Verdana" w:hAnsi="Verdana"/>
          <w:sz w:val="16"/>
          <w:szCs w:val="16"/>
          <w:lang w:eastAsia="cs-CZ"/>
        </w:rPr>
        <w:t>Stock</w:t>
      </w:r>
      <w:proofErr w:type="spellEnd"/>
      <w:r w:rsidR="00CA1BE5">
        <w:rPr>
          <w:rFonts w:ascii="Verdana" w:hAnsi="Verdana"/>
          <w:sz w:val="16"/>
          <w:szCs w:val="16"/>
          <w:lang w:eastAsia="cs-CZ"/>
        </w:rPr>
        <w:t xml:space="preserve"> </w:t>
      </w:r>
      <w:r w:rsidRPr="009C5A9F">
        <w:rPr>
          <w:rFonts w:ascii="Verdana" w:hAnsi="Verdana"/>
          <w:sz w:val="16"/>
          <w:szCs w:val="16"/>
          <w:lang w:eastAsia="cs-CZ"/>
        </w:rPr>
        <w:t>Exchange</w:t>
      </w:r>
      <w:r w:rsidR="00CA1BE5">
        <w:rPr>
          <w:rFonts w:ascii="Verdana" w:hAnsi="Verdana"/>
          <w:sz w:val="16"/>
          <w:szCs w:val="16"/>
          <w:lang w:eastAsia="cs-CZ"/>
        </w:rPr>
        <w:t xml:space="preserve"> </w:t>
      </w:r>
      <w:r w:rsidRPr="009C5A9F">
        <w:rPr>
          <w:rFonts w:ascii="Verdana" w:hAnsi="Verdana"/>
          <w:sz w:val="16"/>
          <w:szCs w:val="16"/>
          <w:lang w:eastAsia="cs-CZ"/>
        </w:rPr>
        <w:t>(FWB) –</w:t>
      </w:r>
      <w:r w:rsidR="00CA1BE5">
        <w:rPr>
          <w:rFonts w:ascii="Verdana" w:hAnsi="Verdana"/>
          <w:sz w:val="16"/>
          <w:szCs w:val="16"/>
          <w:lang w:eastAsia="cs-CZ"/>
        </w:rPr>
        <w:t xml:space="preserve"> </w:t>
      </w:r>
      <w:proofErr w:type="spellStart"/>
      <w:proofErr w:type="gramStart"/>
      <w:r w:rsidRPr="009C5A9F">
        <w:rPr>
          <w:rFonts w:ascii="Verdana" w:hAnsi="Verdana"/>
          <w:sz w:val="16"/>
          <w:szCs w:val="16"/>
          <w:lang w:eastAsia="cs-CZ"/>
        </w:rPr>
        <w:t>Deutsche</w:t>
      </w:r>
      <w:proofErr w:type="spellEnd"/>
      <w:r w:rsidR="00CA1BE5">
        <w:rPr>
          <w:rFonts w:ascii="Verdana" w:hAnsi="Verdana"/>
          <w:sz w:val="16"/>
          <w:szCs w:val="16"/>
          <w:lang w:eastAsia="cs-CZ"/>
        </w:rPr>
        <w:t xml:space="preserve"> </w:t>
      </w:r>
      <w:r w:rsidRPr="009C5A9F">
        <w:rPr>
          <w:rFonts w:ascii="Verdana" w:hAnsi="Verdana"/>
          <w:sz w:val="16"/>
          <w:szCs w:val="16"/>
          <w:lang w:eastAsia="cs-CZ"/>
        </w:rPr>
        <w:t xml:space="preserve"> </w:t>
      </w:r>
      <w:proofErr w:type="spellStart"/>
      <w:r w:rsidRPr="009C5A9F">
        <w:rPr>
          <w:rFonts w:ascii="Verdana" w:hAnsi="Verdana"/>
          <w:sz w:val="16"/>
          <w:szCs w:val="16"/>
          <w:lang w:eastAsia="cs-CZ"/>
        </w:rPr>
        <w:t>Börse</w:t>
      </w:r>
      <w:proofErr w:type="spellEnd"/>
      <w:proofErr w:type="gramEnd"/>
      <w:r w:rsidRPr="009C5A9F">
        <w:rPr>
          <w:rFonts w:ascii="Verdana" w:hAnsi="Verdana"/>
          <w:sz w:val="16"/>
          <w:szCs w:val="16"/>
          <w:lang w:eastAsia="cs-CZ"/>
        </w:rPr>
        <w:t>.</w:t>
      </w:r>
      <w:r w:rsidR="00CA1BE5">
        <w:rPr>
          <w:rFonts w:ascii="Verdana" w:hAnsi="Verdana"/>
          <w:sz w:val="16"/>
          <w:szCs w:val="16"/>
          <w:lang w:eastAsia="cs-CZ"/>
        </w:rPr>
        <w:t xml:space="preserve"> </w:t>
      </w:r>
      <w:r w:rsidRPr="009C5A9F">
        <w:rPr>
          <w:rFonts w:ascii="Verdana" w:hAnsi="Verdana"/>
          <w:sz w:val="16"/>
          <w:szCs w:val="16"/>
          <w:lang w:eastAsia="cs-CZ"/>
        </w:rPr>
        <w:t xml:space="preserve"> Společnost</w:t>
      </w:r>
      <w:r w:rsidR="00CA1BE5">
        <w:rPr>
          <w:rFonts w:ascii="Verdana" w:hAnsi="Verdana"/>
          <w:sz w:val="16"/>
          <w:szCs w:val="16"/>
          <w:lang w:eastAsia="cs-CZ"/>
        </w:rPr>
        <w:t xml:space="preserve"> </w:t>
      </w:r>
      <w:r w:rsidRPr="009C5A9F">
        <w:rPr>
          <w:rFonts w:ascii="Verdana" w:hAnsi="Verdana"/>
          <w:sz w:val="16"/>
          <w:szCs w:val="16"/>
          <w:lang w:eastAsia="cs-CZ"/>
        </w:rPr>
        <w:t>podléhá regulaci a dohledu České národní banky. Dokument je</w:t>
      </w:r>
      <w:r w:rsidR="00CA1BE5">
        <w:rPr>
          <w:rFonts w:ascii="Verdana" w:hAnsi="Verdana"/>
          <w:sz w:val="16"/>
          <w:szCs w:val="16"/>
          <w:lang w:eastAsia="cs-CZ"/>
        </w:rPr>
        <w:t xml:space="preserve"> </w:t>
      </w:r>
      <w:r w:rsidRPr="009C5A9F">
        <w:rPr>
          <w:rFonts w:ascii="Verdana" w:hAnsi="Verdana"/>
          <w:sz w:val="16"/>
          <w:szCs w:val="16"/>
          <w:lang w:eastAsia="cs-CZ"/>
        </w:rPr>
        <w:t>určen</w:t>
      </w:r>
      <w:r w:rsidR="00CA1BE5">
        <w:rPr>
          <w:rFonts w:ascii="Verdana" w:hAnsi="Verdana"/>
          <w:sz w:val="16"/>
          <w:szCs w:val="16"/>
          <w:lang w:eastAsia="cs-CZ"/>
        </w:rPr>
        <w:t xml:space="preserve"> </w:t>
      </w:r>
      <w:r w:rsidRPr="009C5A9F">
        <w:rPr>
          <w:rFonts w:ascii="Verdana" w:hAnsi="Verdana"/>
          <w:sz w:val="16"/>
          <w:szCs w:val="16"/>
          <w:lang w:eastAsia="cs-CZ"/>
        </w:rPr>
        <w:t>pouze</w:t>
      </w:r>
      <w:r w:rsidR="00CA1BE5">
        <w:rPr>
          <w:rFonts w:ascii="Verdana" w:hAnsi="Verdana"/>
          <w:sz w:val="16"/>
          <w:szCs w:val="16"/>
          <w:lang w:eastAsia="cs-CZ"/>
        </w:rPr>
        <w:t xml:space="preserve"> </w:t>
      </w:r>
      <w:r w:rsidRPr="009C5A9F">
        <w:rPr>
          <w:rFonts w:ascii="Verdana" w:hAnsi="Verdana"/>
          <w:sz w:val="16"/>
          <w:szCs w:val="16"/>
          <w:lang w:eastAsia="cs-CZ"/>
        </w:rPr>
        <w:t>pro</w:t>
      </w:r>
      <w:r w:rsidR="00CA1BE5">
        <w:rPr>
          <w:rFonts w:ascii="Verdana" w:hAnsi="Verdana"/>
          <w:sz w:val="16"/>
          <w:szCs w:val="16"/>
          <w:lang w:eastAsia="cs-CZ"/>
        </w:rPr>
        <w:t xml:space="preserve"> </w:t>
      </w:r>
      <w:r w:rsidRPr="009C5A9F">
        <w:rPr>
          <w:rFonts w:ascii="Verdana" w:hAnsi="Verdana"/>
          <w:sz w:val="16"/>
          <w:szCs w:val="16"/>
          <w:lang w:eastAsia="cs-CZ"/>
        </w:rPr>
        <w:t>reklamní účely a nebyl vytvořen za účelem komplexního průvodce investicemi. Poskytuje pouze krátký přehled o jednom z investičních</w:t>
      </w:r>
      <w:r w:rsidR="00CA1BE5">
        <w:rPr>
          <w:rFonts w:ascii="Verdana" w:hAnsi="Verdana"/>
          <w:sz w:val="16"/>
          <w:szCs w:val="16"/>
          <w:lang w:eastAsia="cs-CZ"/>
        </w:rPr>
        <w:t xml:space="preserve"> </w:t>
      </w:r>
      <w:r w:rsidRPr="009C5A9F">
        <w:rPr>
          <w:rFonts w:ascii="Verdana" w:hAnsi="Verdana"/>
          <w:sz w:val="16"/>
          <w:szCs w:val="16"/>
          <w:lang w:eastAsia="cs-CZ"/>
        </w:rPr>
        <w:t>produktů</w:t>
      </w:r>
      <w:r w:rsidR="00CA1BE5">
        <w:rPr>
          <w:rFonts w:ascii="Verdana" w:hAnsi="Verdana"/>
          <w:sz w:val="16"/>
          <w:szCs w:val="16"/>
          <w:lang w:eastAsia="cs-CZ"/>
        </w:rPr>
        <w:t xml:space="preserve"> </w:t>
      </w:r>
      <w:r w:rsidRPr="009C5A9F">
        <w:rPr>
          <w:rFonts w:ascii="Verdana" w:hAnsi="Verdana"/>
          <w:sz w:val="16"/>
          <w:szCs w:val="16"/>
          <w:lang w:eastAsia="cs-CZ"/>
        </w:rPr>
        <w:t>v současné</w:t>
      </w:r>
      <w:r w:rsidR="00CA1BE5">
        <w:rPr>
          <w:rFonts w:ascii="Verdana" w:hAnsi="Verdana"/>
          <w:sz w:val="16"/>
          <w:szCs w:val="16"/>
          <w:lang w:eastAsia="cs-CZ"/>
        </w:rPr>
        <w:t xml:space="preserve"> </w:t>
      </w:r>
      <w:r w:rsidRPr="009C5A9F">
        <w:rPr>
          <w:rFonts w:ascii="Verdana" w:hAnsi="Verdana"/>
          <w:sz w:val="16"/>
          <w:szCs w:val="16"/>
          <w:lang w:eastAsia="cs-CZ"/>
        </w:rPr>
        <w:t>nabídce.</w:t>
      </w:r>
      <w:r w:rsidR="00CA1BE5">
        <w:rPr>
          <w:rFonts w:ascii="Verdana" w:hAnsi="Verdana"/>
          <w:sz w:val="16"/>
          <w:szCs w:val="16"/>
          <w:lang w:eastAsia="cs-CZ"/>
        </w:rPr>
        <w:t xml:space="preserve"> </w:t>
      </w:r>
      <w:r w:rsidRPr="009C5A9F">
        <w:rPr>
          <w:rFonts w:ascii="Verdana" w:hAnsi="Verdana"/>
          <w:sz w:val="16"/>
          <w:szCs w:val="16"/>
          <w:lang w:eastAsia="cs-CZ"/>
        </w:rPr>
        <w:t>Dokument</w:t>
      </w:r>
      <w:r w:rsidR="00CA1BE5">
        <w:rPr>
          <w:rFonts w:ascii="Verdana" w:hAnsi="Verdana"/>
          <w:sz w:val="16"/>
          <w:szCs w:val="16"/>
          <w:lang w:eastAsia="cs-CZ"/>
        </w:rPr>
        <w:t xml:space="preserve"> </w:t>
      </w:r>
      <w:r w:rsidRPr="009C5A9F">
        <w:rPr>
          <w:rFonts w:ascii="Verdana" w:hAnsi="Verdana"/>
          <w:sz w:val="16"/>
          <w:szCs w:val="16"/>
          <w:lang w:eastAsia="cs-CZ"/>
        </w:rPr>
        <w:t>nenahrazuje</w:t>
      </w:r>
      <w:r w:rsidR="00CA1BE5">
        <w:rPr>
          <w:rFonts w:ascii="Verdana" w:hAnsi="Verdana"/>
          <w:sz w:val="16"/>
          <w:szCs w:val="16"/>
          <w:lang w:eastAsia="cs-CZ"/>
        </w:rPr>
        <w:t xml:space="preserve"> </w:t>
      </w:r>
      <w:r w:rsidRPr="009C5A9F">
        <w:rPr>
          <w:rFonts w:ascii="Verdana" w:hAnsi="Verdana"/>
          <w:sz w:val="16"/>
          <w:szCs w:val="16"/>
          <w:lang w:eastAsia="cs-CZ"/>
        </w:rPr>
        <w:t>odborné poradenství k finančním nástrojům v něm uvedeným, ani nenahrazuje komplexní poučení o rizicích. Dokument je určen výhradně pro počáteční informační účely a společnost důrazně doporučuje investorům podstoupit investiční a/nebo právní a/nebo daňové poradenství před tím, než učiní investiční rozhodnutí. Informace obsažené v tomto</w:t>
      </w:r>
      <w:r w:rsidR="00CA1BE5">
        <w:rPr>
          <w:rFonts w:ascii="Verdana" w:hAnsi="Verdana"/>
          <w:sz w:val="16"/>
          <w:szCs w:val="16"/>
          <w:lang w:eastAsia="cs-CZ"/>
        </w:rPr>
        <w:t xml:space="preserve"> </w:t>
      </w:r>
      <w:r w:rsidRPr="009C5A9F">
        <w:rPr>
          <w:rFonts w:ascii="Verdana" w:hAnsi="Verdana"/>
          <w:sz w:val="16"/>
          <w:szCs w:val="16"/>
          <w:lang w:eastAsia="cs-CZ"/>
        </w:rPr>
        <w:t>dokumentu</w:t>
      </w:r>
      <w:r w:rsidR="00CA1BE5">
        <w:rPr>
          <w:rFonts w:ascii="Verdana" w:hAnsi="Verdana"/>
          <w:sz w:val="16"/>
          <w:szCs w:val="16"/>
          <w:lang w:eastAsia="cs-CZ"/>
        </w:rPr>
        <w:t xml:space="preserve"> </w:t>
      </w:r>
      <w:r w:rsidRPr="009C5A9F">
        <w:rPr>
          <w:rFonts w:ascii="Verdana" w:hAnsi="Verdana"/>
          <w:sz w:val="16"/>
          <w:szCs w:val="16"/>
          <w:lang w:eastAsia="cs-CZ"/>
        </w:rPr>
        <w:t>nelze</w:t>
      </w:r>
      <w:r w:rsidR="00CA1BE5">
        <w:rPr>
          <w:rFonts w:ascii="Verdana" w:hAnsi="Verdana"/>
          <w:sz w:val="16"/>
          <w:szCs w:val="16"/>
          <w:lang w:eastAsia="cs-CZ"/>
        </w:rPr>
        <w:t xml:space="preserve"> </w:t>
      </w:r>
      <w:r w:rsidRPr="009C5A9F">
        <w:rPr>
          <w:rFonts w:ascii="Verdana" w:hAnsi="Verdana"/>
          <w:sz w:val="16"/>
          <w:szCs w:val="16"/>
          <w:lang w:eastAsia="cs-CZ"/>
        </w:rPr>
        <w:t>považovat</w:t>
      </w:r>
      <w:r w:rsidR="00CA1BE5">
        <w:rPr>
          <w:rFonts w:ascii="Verdana" w:hAnsi="Verdana"/>
          <w:sz w:val="16"/>
          <w:szCs w:val="16"/>
          <w:lang w:eastAsia="cs-CZ"/>
        </w:rPr>
        <w:t xml:space="preserve"> </w:t>
      </w:r>
      <w:r w:rsidRPr="009C5A9F">
        <w:rPr>
          <w:rFonts w:ascii="Verdana" w:hAnsi="Verdana"/>
          <w:sz w:val="16"/>
          <w:szCs w:val="16"/>
          <w:lang w:eastAsia="cs-CZ"/>
        </w:rPr>
        <w:t>za</w:t>
      </w:r>
      <w:r w:rsidR="00CA1BE5">
        <w:rPr>
          <w:rFonts w:ascii="Verdana" w:hAnsi="Verdana"/>
          <w:sz w:val="16"/>
          <w:szCs w:val="16"/>
          <w:lang w:eastAsia="cs-CZ"/>
        </w:rPr>
        <w:t xml:space="preserve"> </w:t>
      </w:r>
      <w:r w:rsidRPr="009C5A9F">
        <w:rPr>
          <w:rFonts w:ascii="Verdana" w:hAnsi="Verdana"/>
          <w:sz w:val="16"/>
          <w:szCs w:val="16"/>
          <w:lang w:eastAsia="cs-CZ"/>
        </w:rPr>
        <w:t>radu</w:t>
      </w:r>
      <w:r w:rsidR="00CA1BE5">
        <w:rPr>
          <w:rFonts w:ascii="Verdana" w:hAnsi="Verdana"/>
          <w:sz w:val="16"/>
          <w:szCs w:val="16"/>
          <w:lang w:eastAsia="cs-CZ"/>
        </w:rPr>
        <w:t xml:space="preserve"> </w:t>
      </w:r>
      <w:r w:rsidRPr="009C5A9F">
        <w:rPr>
          <w:rFonts w:ascii="Verdana" w:hAnsi="Verdana"/>
          <w:sz w:val="16"/>
          <w:szCs w:val="16"/>
          <w:lang w:eastAsia="cs-CZ"/>
        </w:rPr>
        <w:t>k jednotlivé investici, ani</w:t>
      </w:r>
      <w:r w:rsidR="00CA1BE5">
        <w:rPr>
          <w:rFonts w:ascii="Verdana" w:hAnsi="Verdana"/>
          <w:sz w:val="16"/>
          <w:szCs w:val="16"/>
          <w:lang w:eastAsia="cs-CZ"/>
        </w:rPr>
        <w:t xml:space="preserve"> </w:t>
      </w:r>
      <w:r w:rsidRPr="009C5A9F">
        <w:rPr>
          <w:rFonts w:ascii="Verdana" w:hAnsi="Verdana"/>
          <w:sz w:val="16"/>
          <w:szCs w:val="16"/>
          <w:lang w:eastAsia="cs-CZ"/>
        </w:rPr>
        <w:t>za</w:t>
      </w:r>
      <w:r w:rsidR="00CA1BE5">
        <w:rPr>
          <w:rFonts w:ascii="Verdana" w:hAnsi="Verdana"/>
          <w:sz w:val="16"/>
          <w:szCs w:val="16"/>
          <w:lang w:eastAsia="cs-CZ"/>
        </w:rPr>
        <w:t xml:space="preserve"> </w:t>
      </w:r>
      <w:r w:rsidRPr="009C5A9F">
        <w:rPr>
          <w:rFonts w:ascii="Verdana" w:hAnsi="Verdana"/>
          <w:sz w:val="16"/>
          <w:szCs w:val="16"/>
          <w:lang w:eastAsia="cs-CZ"/>
        </w:rPr>
        <w:t>daňovou</w:t>
      </w:r>
      <w:r w:rsidR="00CA1BE5">
        <w:rPr>
          <w:rFonts w:ascii="Verdana" w:hAnsi="Verdana"/>
          <w:sz w:val="16"/>
          <w:szCs w:val="16"/>
          <w:lang w:eastAsia="cs-CZ"/>
        </w:rPr>
        <w:t xml:space="preserve"> </w:t>
      </w:r>
      <w:r w:rsidRPr="009C5A9F">
        <w:rPr>
          <w:rFonts w:ascii="Verdana" w:hAnsi="Verdana"/>
          <w:sz w:val="16"/>
          <w:szCs w:val="16"/>
          <w:lang w:eastAsia="cs-CZ"/>
        </w:rPr>
        <w:t>nebo</w:t>
      </w:r>
      <w:r w:rsidR="00CA1BE5">
        <w:rPr>
          <w:rFonts w:ascii="Verdana" w:hAnsi="Verdana"/>
          <w:sz w:val="16"/>
          <w:szCs w:val="16"/>
          <w:lang w:eastAsia="cs-CZ"/>
        </w:rPr>
        <w:t xml:space="preserve"> </w:t>
      </w:r>
      <w:r w:rsidRPr="009C5A9F">
        <w:rPr>
          <w:rFonts w:ascii="Verdana" w:hAnsi="Verdana"/>
          <w:sz w:val="16"/>
          <w:szCs w:val="16"/>
          <w:lang w:eastAsia="cs-CZ"/>
        </w:rPr>
        <w:t>právní radu. Pokud se v dokumentu hovoří o jakémkoliv výnosu, je vždy třeba vycházet ze zásady, že minulé</w:t>
      </w:r>
      <w:r w:rsidR="00CA1BE5">
        <w:rPr>
          <w:rFonts w:ascii="Verdana" w:hAnsi="Verdana"/>
          <w:sz w:val="16"/>
          <w:szCs w:val="16"/>
          <w:lang w:eastAsia="cs-CZ"/>
        </w:rPr>
        <w:t xml:space="preserve"> </w:t>
      </w:r>
      <w:r w:rsidRPr="009C5A9F">
        <w:rPr>
          <w:rFonts w:ascii="Verdana" w:hAnsi="Verdana"/>
          <w:sz w:val="16"/>
          <w:szCs w:val="16"/>
          <w:lang w:eastAsia="cs-CZ"/>
        </w:rPr>
        <w:t>výnosy</w:t>
      </w:r>
      <w:r w:rsidR="00CA1BE5">
        <w:rPr>
          <w:rFonts w:ascii="Verdana" w:hAnsi="Verdana"/>
          <w:sz w:val="16"/>
          <w:szCs w:val="16"/>
          <w:lang w:eastAsia="cs-CZ"/>
        </w:rPr>
        <w:t xml:space="preserve"> </w:t>
      </w:r>
      <w:r w:rsidRPr="009C5A9F">
        <w:rPr>
          <w:rFonts w:ascii="Verdana" w:hAnsi="Verdana"/>
          <w:sz w:val="16"/>
          <w:szCs w:val="16"/>
          <w:lang w:eastAsia="cs-CZ"/>
        </w:rPr>
        <w:t>nejsou</w:t>
      </w:r>
      <w:r w:rsidR="00CA1BE5">
        <w:rPr>
          <w:rFonts w:ascii="Verdana" w:hAnsi="Verdana"/>
          <w:sz w:val="16"/>
          <w:szCs w:val="16"/>
          <w:lang w:eastAsia="cs-CZ"/>
        </w:rPr>
        <w:t xml:space="preserve"> </w:t>
      </w:r>
      <w:r w:rsidRPr="009C5A9F">
        <w:rPr>
          <w:rFonts w:ascii="Verdana" w:hAnsi="Verdana"/>
          <w:sz w:val="16"/>
          <w:szCs w:val="16"/>
          <w:lang w:eastAsia="cs-CZ"/>
        </w:rPr>
        <w:t>zárukou</w:t>
      </w:r>
      <w:r w:rsidR="00CA1BE5">
        <w:rPr>
          <w:rFonts w:ascii="Verdana" w:hAnsi="Verdana"/>
          <w:sz w:val="16"/>
          <w:szCs w:val="16"/>
          <w:lang w:eastAsia="cs-CZ"/>
        </w:rPr>
        <w:t xml:space="preserve"> </w:t>
      </w:r>
      <w:r w:rsidRPr="009C5A9F">
        <w:rPr>
          <w:rFonts w:ascii="Verdana" w:hAnsi="Verdana"/>
          <w:sz w:val="16"/>
          <w:szCs w:val="16"/>
          <w:lang w:eastAsia="cs-CZ"/>
        </w:rPr>
        <w:t>výnosů</w:t>
      </w:r>
      <w:r w:rsidR="00CA1BE5">
        <w:rPr>
          <w:rFonts w:ascii="Verdana" w:hAnsi="Verdana"/>
          <w:sz w:val="16"/>
          <w:szCs w:val="16"/>
          <w:lang w:eastAsia="cs-CZ"/>
        </w:rPr>
        <w:t xml:space="preserve"> </w:t>
      </w:r>
      <w:r w:rsidRPr="009C5A9F">
        <w:rPr>
          <w:rFonts w:ascii="Verdana" w:hAnsi="Verdana"/>
          <w:sz w:val="16"/>
          <w:szCs w:val="16"/>
          <w:lang w:eastAsia="cs-CZ"/>
        </w:rPr>
        <w:t>budoucích, že jakákoliv investice v sobě zahrnuje riziko kolísání hodnoty a změny směnných kursů a že návratnost původně investovaných prostředků ani výše zisku není, pokud v textu dokumentu</w:t>
      </w:r>
      <w:r w:rsidR="00CA1BE5">
        <w:rPr>
          <w:rFonts w:ascii="Verdana" w:hAnsi="Verdana"/>
          <w:sz w:val="16"/>
          <w:szCs w:val="16"/>
          <w:lang w:eastAsia="cs-CZ"/>
        </w:rPr>
        <w:t xml:space="preserve"> </w:t>
      </w:r>
      <w:r w:rsidRPr="009C5A9F">
        <w:rPr>
          <w:rFonts w:ascii="Verdana" w:hAnsi="Verdana"/>
          <w:sz w:val="16"/>
          <w:szCs w:val="16"/>
          <w:lang w:eastAsia="cs-CZ"/>
        </w:rPr>
        <w:t>není uvedeno jinak, zaručena. Investoři mohou získat při prodeji uvedeného investičního nástroje před datem splatnosti nebo při splacení investičního nástroje částku nižší než částku investovanou. Potenciální ztráta je omezena na původně investovanou částku. Informace jsou založeny na hrubé výkonnosti před zdaněním. Tento dokument obsahuje příklady vytvořené na základě analýzy scénářů vývoje podkladových instrumentů. Očekávání a</w:t>
      </w:r>
      <w:r w:rsidR="00CA1BE5">
        <w:rPr>
          <w:rFonts w:ascii="Verdana" w:hAnsi="Verdana"/>
          <w:sz w:val="16"/>
          <w:szCs w:val="16"/>
          <w:lang w:eastAsia="cs-CZ"/>
        </w:rPr>
        <w:t xml:space="preserve"> </w:t>
      </w:r>
      <w:r w:rsidRPr="009C5A9F">
        <w:rPr>
          <w:rFonts w:ascii="Verdana" w:hAnsi="Verdana"/>
          <w:sz w:val="16"/>
          <w:szCs w:val="16"/>
          <w:lang w:eastAsia="cs-CZ"/>
        </w:rPr>
        <w:t>predikce</w:t>
      </w:r>
      <w:r w:rsidR="00CA1BE5">
        <w:rPr>
          <w:rFonts w:ascii="Verdana" w:hAnsi="Verdana"/>
          <w:sz w:val="16"/>
          <w:szCs w:val="16"/>
          <w:lang w:eastAsia="cs-CZ"/>
        </w:rPr>
        <w:t xml:space="preserve"> </w:t>
      </w:r>
      <w:r w:rsidRPr="009C5A9F">
        <w:rPr>
          <w:rFonts w:ascii="Verdana" w:hAnsi="Verdana"/>
          <w:sz w:val="16"/>
          <w:szCs w:val="16"/>
          <w:lang w:eastAsia="cs-CZ"/>
        </w:rPr>
        <w:t>analytiků</w:t>
      </w:r>
      <w:r w:rsidR="00CA1BE5">
        <w:rPr>
          <w:rFonts w:ascii="Verdana" w:hAnsi="Verdana"/>
          <w:sz w:val="16"/>
          <w:szCs w:val="16"/>
          <w:lang w:eastAsia="cs-CZ"/>
        </w:rPr>
        <w:t xml:space="preserve"> </w:t>
      </w:r>
      <w:r w:rsidRPr="009C5A9F">
        <w:rPr>
          <w:rFonts w:ascii="Verdana" w:hAnsi="Verdana"/>
          <w:sz w:val="16"/>
          <w:szCs w:val="16"/>
          <w:lang w:eastAsia="cs-CZ"/>
        </w:rPr>
        <w:t>a</w:t>
      </w:r>
      <w:r w:rsidR="00CA1BE5">
        <w:rPr>
          <w:rFonts w:ascii="Verdana" w:hAnsi="Verdana"/>
          <w:sz w:val="16"/>
          <w:szCs w:val="16"/>
          <w:lang w:eastAsia="cs-CZ"/>
        </w:rPr>
        <w:t xml:space="preserve"> </w:t>
      </w:r>
      <w:r w:rsidRPr="009C5A9F">
        <w:rPr>
          <w:rFonts w:ascii="Verdana" w:hAnsi="Verdana"/>
          <w:sz w:val="16"/>
          <w:szCs w:val="16"/>
          <w:lang w:eastAsia="cs-CZ"/>
        </w:rPr>
        <w:t>stratégů</w:t>
      </w:r>
      <w:r w:rsidR="00CA1BE5">
        <w:rPr>
          <w:rFonts w:ascii="Verdana" w:hAnsi="Verdana"/>
          <w:sz w:val="16"/>
          <w:szCs w:val="16"/>
          <w:lang w:eastAsia="cs-CZ"/>
        </w:rPr>
        <w:t xml:space="preserve"> </w:t>
      </w:r>
      <w:r w:rsidRPr="009C5A9F">
        <w:rPr>
          <w:rFonts w:ascii="Verdana" w:hAnsi="Verdana"/>
          <w:sz w:val="16"/>
          <w:szCs w:val="16"/>
          <w:lang w:eastAsia="cs-CZ"/>
        </w:rPr>
        <w:t>nejsou</w:t>
      </w:r>
      <w:r w:rsidR="00CA1BE5">
        <w:rPr>
          <w:rFonts w:ascii="Verdana" w:hAnsi="Verdana"/>
          <w:sz w:val="16"/>
          <w:szCs w:val="16"/>
          <w:lang w:eastAsia="cs-CZ"/>
        </w:rPr>
        <w:t xml:space="preserve"> </w:t>
      </w:r>
      <w:r w:rsidRPr="009C5A9F">
        <w:rPr>
          <w:rFonts w:ascii="Verdana" w:hAnsi="Verdana"/>
          <w:sz w:val="16"/>
          <w:szCs w:val="16"/>
          <w:lang w:eastAsia="cs-CZ"/>
        </w:rPr>
        <w:t>spolehlivým indikátorem</w:t>
      </w:r>
      <w:r w:rsidR="00CA1BE5">
        <w:rPr>
          <w:rFonts w:ascii="Verdana" w:hAnsi="Verdana"/>
          <w:sz w:val="16"/>
          <w:szCs w:val="16"/>
          <w:lang w:eastAsia="cs-CZ"/>
        </w:rPr>
        <w:t xml:space="preserve"> </w:t>
      </w:r>
      <w:r w:rsidRPr="009C5A9F">
        <w:rPr>
          <w:rFonts w:ascii="Verdana" w:hAnsi="Verdana"/>
          <w:sz w:val="16"/>
          <w:szCs w:val="16"/>
          <w:lang w:eastAsia="cs-CZ"/>
        </w:rPr>
        <w:t>budoucího</w:t>
      </w:r>
      <w:r w:rsidR="00CA1BE5">
        <w:rPr>
          <w:rFonts w:ascii="Verdana" w:hAnsi="Verdana"/>
          <w:sz w:val="16"/>
          <w:szCs w:val="16"/>
          <w:lang w:eastAsia="cs-CZ"/>
        </w:rPr>
        <w:t xml:space="preserve"> </w:t>
      </w:r>
      <w:r w:rsidRPr="009C5A9F">
        <w:rPr>
          <w:rFonts w:ascii="Verdana" w:hAnsi="Verdana"/>
          <w:sz w:val="16"/>
          <w:szCs w:val="16"/>
          <w:lang w:eastAsia="cs-CZ"/>
        </w:rPr>
        <w:t>vývoje</w:t>
      </w:r>
      <w:r w:rsidR="00CA1BE5">
        <w:rPr>
          <w:rFonts w:ascii="Verdana" w:hAnsi="Verdana"/>
          <w:sz w:val="16"/>
          <w:szCs w:val="16"/>
          <w:lang w:eastAsia="cs-CZ"/>
        </w:rPr>
        <w:t xml:space="preserve"> </w:t>
      </w:r>
      <w:r w:rsidRPr="009C5A9F">
        <w:rPr>
          <w:rFonts w:ascii="Verdana" w:hAnsi="Verdana"/>
          <w:sz w:val="16"/>
          <w:szCs w:val="16"/>
          <w:lang w:eastAsia="cs-CZ"/>
        </w:rPr>
        <w:t>tržního</w:t>
      </w:r>
      <w:r w:rsidR="00CA1BE5">
        <w:rPr>
          <w:rFonts w:ascii="Verdana" w:hAnsi="Verdana"/>
          <w:sz w:val="16"/>
          <w:szCs w:val="16"/>
          <w:lang w:eastAsia="cs-CZ"/>
        </w:rPr>
        <w:t xml:space="preserve"> </w:t>
      </w:r>
      <w:r w:rsidRPr="009C5A9F">
        <w:rPr>
          <w:rFonts w:ascii="Verdana" w:hAnsi="Verdana"/>
          <w:sz w:val="16"/>
          <w:szCs w:val="16"/>
          <w:lang w:eastAsia="cs-CZ"/>
        </w:rPr>
        <w:t>kurzu</w:t>
      </w:r>
      <w:r w:rsidR="00CA1BE5">
        <w:rPr>
          <w:rFonts w:ascii="Verdana" w:hAnsi="Verdana"/>
          <w:sz w:val="16"/>
          <w:szCs w:val="16"/>
          <w:lang w:eastAsia="cs-CZ"/>
        </w:rPr>
        <w:t xml:space="preserve"> </w:t>
      </w:r>
      <w:r w:rsidRPr="009C5A9F">
        <w:rPr>
          <w:rFonts w:ascii="Verdana" w:hAnsi="Verdana"/>
          <w:sz w:val="16"/>
          <w:szCs w:val="16"/>
          <w:lang w:eastAsia="cs-CZ"/>
        </w:rPr>
        <w:t>dotčených</w:t>
      </w:r>
      <w:r w:rsidR="00CA1BE5">
        <w:rPr>
          <w:rFonts w:ascii="Verdana" w:hAnsi="Verdana"/>
          <w:sz w:val="16"/>
          <w:szCs w:val="16"/>
          <w:lang w:eastAsia="cs-CZ"/>
        </w:rPr>
        <w:t xml:space="preserve"> </w:t>
      </w:r>
      <w:r w:rsidRPr="009C5A9F">
        <w:rPr>
          <w:rFonts w:ascii="Verdana" w:hAnsi="Verdana"/>
          <w:sz w:val="16"/>
          <w:szCs w:val="16"/>
          <w:lang w:eastAsia="cs-CZ"/>
        </w:rPr>
        <w:t>investičních</w:t>
      </w:r>
      <w:r w:rsidR="00CA1BE5">
        <w:rPr>
          <w:rFonts w:ascii="Verdana" w:hAnsi="Verdana"/>
          <w:sz w:val="16"/>
          <w:szCs w:val="16"/>
          <w:lang w:eastAsia="cs-CZ"/>
        </w:rPr>
        <w:t xml:space="preserve"> </w:t>
      </w:r>
      <w:r w:rsidRPr="009C5A9F">
        <w:rPr>
          <w:rFonts w:ascii="Verdana" w:hAnsi="Verdana"/>
          <w:sz w:val="16"/>
          <w:szCs w:val="16"/>
          <w:lang w:eastAsia="cs-CZ"/>
        </w:rPr>
        <w:t>nástrojů.</w:t>
      </w:r>
    </w:p>
    <w:tbl>
      <w:tblPr>
        <w:tblStyle w:val="Mkatabulky"/>
        <w:tblpPr w:leftFromText="142" w:rightFromText="142" w:vertAnchor="page" w:horzAnchor="margin" w:tblpY="1000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693"/>
        <w:gridCol w:w="2982"/>
        <w:gridCol w:w="2659"/>
      </w:tblGrid>
      <w:tr w:rsidR="00C63A3C" w:rsidRPr="009C5A9F" w14:paraId="4FDEF083" w14:textId="77777777" w:rsidTr="00C63A3C">
        <w:trPr>
          <w:trHeight w:val="284"/>
        </w:trPr>
        <w:tc>
          <w:tcPr>
            <w:tcW w:w="2122" w:type="dxa"/>
            <w:tcBorders>
              <w:top w:val="single" w:sz="8" w:space="0" w:color="A6A6A6" w:themeColor="background1" w:themeShade="A6"/>
            </w:tcBorders>
          </w:tcPr>
          <w:p w14:paraId="7E6D9EAD" w14:textId="77777777" w:rsidR="00C63A3C" w:rsidRPr="009C5A9F" w:rsidRDefault="00C63A3C" w:rsidP="00C63A3C">
            <w:pPr>
              <w:pStyle w:val="Zpat"/>
              <w:jc w:val="both"/>
              <w:rPr>
                <w:rFonts w:ascii="Verdana" w:hAnsi="Verdana"/>
                <w:color w:val="FFC832" w:themeColor="background2"/>
                <w:sz w:val="28"/>
              </w:rPr>
            </w:pPr>
          </w:p>
        </w:tc>
        <w:tc>
          <w:tcPr>
            <w:tcW w:w="8334" w:type="dxa"/>
            <w:gridSpan w:val="3"/>
            <w:tcBorders>
              <w:top w:val="single" w:sz="8" w:space="0" w:color="A6A6A6" w:themeColor="background1" w:themeShade="A6"/>
            </w:tcBorders>
          </w:tcPr>
          <w:p w14:paraId="4E6D3D8C" w14:textId="77777777" w:rsidR="00C63A3C" w:rsidRPr="009C5A9F" w:rsidRDefault="00C63A3C" w:rsidP="00C63A3C">
            <w:pPr>
              <w:pStyle w:val="Zpat"/>
              <w:jc w:val="both"/>
              <w:rPr>
                <w:rFonts w:ascii="Verdana" w:hAnsi="Verdana"/>
              </w:rPr>
            </w:pPr>
          </w:p>
        </w:tc>
      </w:tr>
      <w:tr w:rsidR="00C63A3C" w:rsidRPr="009C5A9F" w14:paraId="55CDE469" w14:textId="77777777" w:rsidTr="00C63A3C">
        <w:trPr>
          <w:trHeight w:val="1127"/>
        </w:trPr>
        <w:tc>
          <w:tcPr>
            <w:tcW w:w="2122" w:type="dxa"/>
          </w:tcPr>
          <w:p w14:paraId="36BDA476" w14:textId="77777777" w:rsidR="00C63A3C" w:rsidRPr="009C5A9F" w:rsidRDefault="00C63A3C" w:rsidP="00C63A3C">
            <w:pPr>
              <w:pStyle w:val="Zpat"/>
              <w:jc w:val="both"/>
              <w:rPr>
                <w:rFonts w:ascii="Verdana" w:hAnsi="Verdana"/>
                <w:b/>
              </w:rPr>
            </w:pPr>
            <w:r w:rsidRPr="009C5A9F">
              <w:rPr>
                <w:rFonts w:ascii="Verdana" w:hAnsi="Verdana"/>
                <w:b/>
                <w:color w:val="FFC832" w:themeColor="background2"/>
                <w:sz w:val="28"/>
              </w:rPr>
              <w:t>Investujte.</w:t>
            </w:r>
            <w:r w:rsidRPr="009C5A9F">
              <w:rPr>
                <w:rFonts w:ascii="Verdana" w:hAnsi="Verdana"/>
                <w:b/>
                <w:color w:val="FFC832" w:themeColor="background2"/>
                <w:sz w:val="28"/>
              </w:rPr>
              <w:br/>
              <w:t>CYRRUS</w:t>
            </w:r>
          </w:p>
        </w:tc>
        <w:tc>
          <w:tcPr>
            <w:tcW w:w="8334" w:type="dxa"/>
            <w:gridSpan w:val="3"/>
          </w:tcPr>
          <w:p w14:paraId="245B18A9" w14:textId="77777777" w:rsidR="00C63A3C" w:rsidRPr="009C5A9F" w:rsidRDefault="00C63A3C" w:rsidP="00C63A3C">
            <w:pPr>
              <w:pStyle w:val="Zpat"/>
              <w:jc w:val="both"/>
              <w:rPr>
                <w:rFonts w:ascii="Verdana" w:hAnsi="Verdana"/>
              </w:rPr>
            </w:pPr>
            <w:r w:rsidRPr="009C5A9F">
              <w:rPr>
                <w:rFonts w:ascii="Verdana" w:hAnsi="Verdana"/>
              </w:rPr>
              <w:t>V roce 1995 jsme se vydali na cestu brokera. 25 let obchodujeme s cennými papíry, staráme se o své klienty, reagujeme na dění ve světě a rozvíjíme se. Díky tomu vám můžeme přinášet stále nové služby a inovativní možnosti investování. Jsme CYRRUS.</w:t>
            </w:r>
          </w:p>
        </w:tc>
      </w:tr>
      <w:tr w:rsidR="00C63A3C" w:rsidRPr="009C5A9F" w14:paraId="4874CD78" w14:textId="77777777" w:rsidTr="00C63A3C">
        <w:trPr>
          <w:trHeight w:val="1895"/>
        </w:trPr>
        <w:tc>
          <w:tcPr>
            <w:tcW w:w="2122" w:type="dxa"/>
            <w:vMerge w:val="restart"/>
          </w:tcPr>
          <w:p w14:paraId="56C061E4" w14:textId="77777777" w:rsidR="00C63A3C" w:rsidRPr="009C5A9F" w:rsidRDefault="00000000" w:rsidP="00C63A3C">
            <w:pPr>
              <w:pStyle w:val="Zpat"/>
              <w:spacing w:after="240"/>
              <w:jc w:val="both"/>
              <w:rPr>
                <w:rFonts w:ascii="Verdana" w:hAnsi="Verdana"/>
                <w:sz w:val="16"/>
              </w:rPr>
            </w:pPr>
            <w:hyperlink r:id="rId21" w:history="1">
              <w:r w:rsidR="00C63A3C" w:rsidRPr="009C5A9F">
                <w:rPr>
                  <w:rStyle w:val="Hypertextovodkaz"/>
                  <w:rFonts w:ascii="Verdana" w:hAnsi="Verdana"/>
                  <w:sz w:val="16"/>
                </w:rPr>
                <w:t>Loga ke stažení</w:t>
              </w:r>
            </w:hyperlink>
          </w:p>
          <w:p w14:paraId="2D784830" w14:textId="77777777" w:rsidR="00C63A3C" w:rsidRPr="009C5A9F" w:rsidRDefault="00000000" w:rsidP="00C63A3C">
            <w:pPr>
              <w:pStyle w:val="Zpat"/>
              <w:spacing w:after="240"/>
              <w:jc w:val="both"/>
              <w:rPr>
                <w:rFonts w:ascii="Verdana" w:hAnsi="Verdana"/>
                <w:sz w:val="16"/>
              </w:rPr>
            </w:pPr>
            <w:hyperlink r:id="rId22" w:history="1">
              <w:r w:rsidR="00C63A3C" w:rsidRPr="009C5A9F">
                <w:rPr>
                  <w:rStyle w:val="Hypertextovodkaz"/>
                  <w:rFonts w:ascii="Verdana" w:hAnsi="Verdana"/>
                  <w:sz w:val="16"/>
                </w:rPr>
                <w:t>Obecné fotografie</w:t>
              </w:r>
            </w:hyperlink>
          </w:p>
          <w:p w14:paraId="7A76238A" w14:textId="77777777" w:rsidR="00C63A3C" w:rsidRPr="009C5A9F" w:rsidRDefault="00C63A3C" w:rsidP="00C63A3C">
            <w:pPr>
              <w:pStyle w:val="Zpat"/>
              <w:spacing w:after="240"/>
              <w:rPr>
                <w:rFonts w:ascii="Verdana" w:hAnsi="Verdana"/>
                <w:sz w:val="16"/>
              </w:rPr>
            </w:pPr>
            <w:r w:rsidRPr="009C5A9F">
              <w:rPr>
                <w:rFonts w:ascii="Verdana" w:hAnsi="Verdana"/>
                <w:sz w:val="16"/>
              </w:rPr>
              <w:t>Název společnosti píšeme velkými písmeny a neskloňujeme.</w:t>
            </w:r>
          </w:p>
          <w:p w14:paraId="213E57A0" w14:textId="77777777" w:rsidR="00C63A3C" w:rsidRPr="009C5A9F" w:rsidRDefault="00C63A3C" w:rsidP="00C63A3C">
            <w:pPr>
              <w:pStyle w:val="Zpat"/>
              <w:spacing w:after="240"/>
              <w:rPr>
                <w:rFonts w:ascii="Verdana" w:hAnsi="Verdana"/>
                <w:sz w:val="16"/>
              </w:rPr>
            </w:pPr>
            <w:r w:rsidRPr="009C5A9F">
              <w:rPr>
                <w:rFonts w:ascii="Verdana" w:hAnsi="Verdana"/>
                <w:sz w:val="16"/>
              </w:rPr>
              <w:t>Vyslovujeme [CYRRUS].</w:t>
            </w:r>
          </w:p>
          <w:p w14:paraId="6FB45D94" w14:textId="77777777" w:rsidR="00C63A3C" w:rsidRPr="009C5A9F" w:rsidRDefault="00000000" w:rsidP="00C63A3C">
            <w:pPr>
              <w:pStyle w:val="Zpat"/>
              <w:jc w:val="both"/>
              <w:rPr>
                <w:rFonts w:ascii="Verdana" w:hAnsi="Verdana"/>
                <w:sz w:val="16"/>
              </w:rPr>
            </w:pPr>
            <w:hyperlink r:id="rId23" w:history="1">
              <w:r w:rsidR="00C63A3C" w:rsidRPr="009C5A9F">
                <w:rPr>
                  <w:rStyle w:val="Hypertextovodkaz"/>
                  <w:rFonts w:ascii="Verdana" w:hAnsi="Verdana"/>
                  <w:sz w:val="16"/>
                </w:rPr>
                <w:t>WWW.CYRRUS.CZ</w:t>
              </w:r>
            </w:hyperlink>
          </w:p>
        </w:tc>
        <w:tc>
          <w:tcPr>
            <w:tcW w:w="2693" w:type="dxa"/>
          </w:tcPr>
          <w:p w14:paraId="7576E967" w14:textId="77777777" w:rsidR="00C63A3C" w:rsidRPr="009C5A9F" w:rsidRDefault="00C63A3C" w:rsidP="00C63A3C">
            <w:pPr>
              <w:pStyle w:val="Zpat"/>
              <w:jc w:val="center"/>
              <w:rPr>
                <w:rFonts w:ascii="Verdana" w:hAnsi="Verdana"/>
              </w:rPr>
            </w:pPr>
            <w:r w:rsidRPr="009C5A9F">
              <w:rPr>
                <w:rFonts w:ascii="Verdana" w:hAnsi="Verdana"/>
                <w:noProof/>
                <w:lang w:eastAsia="cs-CZ"/>
              </w:rPr>
              <w:drawing>
                <wp:inline distT="0" distB="0" distL="0" distR="0" wp14:anchorId="324CE04C" wp14:editId="4A458253">
                  <wp:extent cx="1136488" cy="1136488"/>
                  <wp:effectExtent l="0" t="0" r="6985" b="6985"/>
                  <wp:docPr id="876" name="Obrázek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rek_Hatlapatka.png"/>
                          <pic:cNvPicPr/>
                        </pic:nvPicPr>
                        <pic:blipFill>
                          <a:blip r:embed="rId24" cstate="print">
                            <a:extLst>
                              <a:ext uri="{28A0092B-C50C-407E-A947-70E740481C1C}">
                                <a14:useLocalDpi xmlns:a14="http://schemas.microsoft.com/office/drawing/2010/main" val="0"/>
                              </a:ext>
                            </a:extLst>
                          </a:blip>
                          <a:stretch>
                            <a:fillRect/>
                          </a:stretch>
                        </pic:blipFill>
                        <pic:spPr>
                          <a:xfrm flipH="1">
                            <a:off x="0" y="0"/>
                            <a:ext cx="1136488" cy="1136488"/>
                          </a:xfrm>
                          <a:prstGeom prst="rect">
                            <a:avLst/>
                          </a:prstGeom>
                        </pic:spPr>
                      </pic:pic>
                    </a:graphicData>
                  </a:graphic>
                </wp:inline>
              </w:drawing>
            </w:r>
          </w:p>
        </w:tc>
        <w:tc>
          <w:tcPr>
            <w:tcW w:w="2982" w:type="dxa"/>
          </w:tcPr>
          <w:p w14:paraId="6DE51152" w14:textId="77777777" w:rsidR="00C63A3C" w:rsidRPr="009C5A9F" w:rsidRDefault="00C63A3C" w:rsidP="00C63A3C">
            <w:pPr>
              <w:pStyle w:val="Zpat"/>
              <w:jc w:val="center"/>
              <w:rPr>
                <w:rFonts w:ascii="Verdana" w:hAnsi="Verdana"/>
              </w:rPr>
            </w:pPr>
            <w:r w:rsidRPr="009C5A9F">
              <w:rPr>
                <w:rFonts w:ascii="Verdana" w:hAnsi="Verdana"/>
                <w:noProof/>
                <w:lang w:eastAsia="cs-CZ"/>
              </w:rPr>
              <w:drawing>
                <wp:inline distT="0" distB="0" distL="0" distR="0" wp14:anchorId="67A58543" wp14:editId="53F656BF">
                  <wp:extent cx="1136488" cy="1136488"/>
                  <wp:effectExtent l="0" t="0" r="6985" b="6985"/>
                  <wp:docPr id="877" name="Obrázek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rek_Hatlapatka.png"/>
                          <pic:cNvPicPr/>
                        </pic:nvPicPr>
                        <pic:blipFill>
                          <a:blip r:embed="rId25" cstate="print">
                            <a:extLst>
                              <a:ext uri="{28A0092B-C50C-407E-A947-70E740481C1C}">
                                <a14:useLocalDpi xmlns:a14="http://schemas.microsoft.com/office/drawing/2010/main" val="0"/>
                              </a:ext>
                            </a:extLst>
                          </a:blip>
                          <a:stretch>
                            <a:fillRect/>
                          </a:stretch>
                        </pic:blipFill>
                        <pic:spPr>
                          <a:xfrm flipH="1">
                            <a:off x="0" y="0"/>
                            <a:ext cx="1136488" cy="1136488"/>
                          </a:xfrm>
                          <a:prstGeom prst="rect">
                            <a:avLst/>
                          </a:prstGeom>
                        </pic:spPr>
                      </pic:pic>
                    </a:graphicData>
                  </a:graphic>
                </wp:inline>
              </w:drawing>
            </w:r>
          </w:p>
        </w:tc>
        <w:tc>
          <w:tcPr>
            <w:tcW w:w="2659" w:type="dxa"/>
          </w:tcPr>
          <w:p w14:paraId="07D66F34" w14:textId="77777777" w:rsidR="00C63A3C" w:rsidRPr="009C5A9F" w:rsidRDefault="00C63A3C" w:rsidP="00C63A3C">
            <w:pPr>
              <w:pStyle w:val="Zpat"/>
              <w:jc w:val="center"/>
              <w:rPr>
                <w:rFonts w:ascii="Verdana" w:hAnsi="Verdana"/>
              </w:rPr>
            </w:pPr>
            <w:r w:rsidRPr="009C5A9F">
              <w:rPr>
                <w:rFonts w:ascii="Verdana" w:hAnsi="Verdana"/>
                <w:noProof/>
                <w:lang w:eastAsia="cs-CZ"/>
              </w:rPr>
              <w:drawing>
                <wp:inline distT="0" distB="0" distL="0" distR="0" wp14:anchorId="2C6ABD72" wp14:editId="15F29303">
                  <wp:extent cx="1136488" cy="1136488"/>
                  <wp:effectExtent l="0" t="0" r="6985" b="6985"/>
                  <wp:docPr id="878" name="Obrázek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rek_Hatlapatka.png"/>
                          <pic:cNvPicPr/>
                        </pic:nvPicPr>
                        <pic:blipFill>
                          <a:blip r:embed="rId26" cstate="print">
                            <a:extLst>
                              <a:ext uri="{28A0092B-C50C-407E-A947-70E740481C1C}">
                                <a14:useLocalDpi xmlns:a14="http://schemas.microsoft.com/office/drawing/2010/main" val="0"/>
                              </a:ext>
                            </a:extLst>
                          </a:blip>
                          <a:stretch>
                            <a:fillRect/>
                          </a:stretch>
                        </pic:blipFill>
                        <pic:spPr>
                          <a:xfrm flipH="1">
                            <a:off x="0" y="0"/>
                            <a:ext cx="1136488" cy="1136488"/>
                          </a:xfrm>
                          <a:prstGeom prst="rect">
                            <a:avLst/>
                          </a:prstGeom>
                        </pic:spPr>
                      </pic:pic>
                    </a:graphicData>
                  </a:graphic>
                </wp:inline>
              </w:drawing>
            </w:r>
          </w:p>
        </w:tc>
      </w:tr>
      <w:tr w:rsidR="00C63A3C" w:rsidRPr="009C5A9F" w14:paraId="48F9130E" w14:textId="77777777" w:rsidTr="00C63A3C">
        <w:tc>
          <w:tcPr>
            <w:tcW w:w="2122" w:type="dxa"/>
            <w:vMerge/>
          </w:tcPr>
          <w:p w14:paraId="43FB5B8C" w14:textId="77777777" w:rsidR="00C63A3C" w:rsidRPr="009C5A9F" w:rsidRDefault="00C63A3C" w:rsidP="00C63A3C">
            <w:pPr>
              <w:pStyle w:val="Zpat"/>
              <w:jc w:val="both"/>
              <w:rPr>
                <w:rFonts w:ascii="Verdana" w:hAnsi="Verdana"/>
              </w:rPr>
            </w:pPr>
          </w:p>
        </w:tc>
        <w:tc>
          <w:tcPr>
            <w:tcW w:w="2693" w:type="dxa"/>
          </w:tcPr>
          <w:p w14:paraId="1CF3D35E" w14:textId="77777777" w:rsidR="00C63A3C" w:rsidRPr="009C5A9F" w:rsidRDefault="00C63A3C" w:rsidP="00842547">
            <w:pPr>
              <w:pStyle w:val="Zpat"/>
              <w:jc w:val="center"/>
              <w:rPr>
                <w:rFonts w:ascii="Verdana" w:hAnsi="Verdana"/>
                <w:b/>
              </w:rPr>
            </w:pPr>
            <w:r w:rsidRPr="009C5A9F">
              <w:rPr>
                <w:rFonts w:ascii="Verdana" w:hAnsi="Verdana"/>
                <w:b/>
              </w:rPr>
              <w:t>Vít Hradil</w:t>
            </w:r>
          </w:p>
          <w:p w14:paraId="510077E4" w14:textId="77777777" w:rsidR="00C63A3C" w:rsidRPr="009C5A9F" w:rsidRDefault="00C63A3C" w:rsidP="00842547">
            <w:pPr>
              <w:pStyle w:val="Zpat"/>
              <w:spacing w:after="240"/>
              <w:jc w:val="center"/>
              <w:rPr>
                <w:rFonts w:ascii="Verdana" w:hAnsi="Verdana"/>
                <w:sz w:val="14"/>
              </w:rPr>
            </w:pPr>
            <w:r w:rsidRPr="009C5A9F">
              <w:rPr>
                <w:rFonts w:ascii="Verdana" w:hAnsi="Verdana"/>
                <w:sz w:val="14"/>
              </w:rPr>
              <w:t>Hlavní ekonom CYRRUS</w:t>
            </w:r>
          </w:p>
        </w:tc>
        <w:tc>
          <w:tcPr>
            <w:tcW w:w="2982" w:type="dxa"/>
          </w:tcPr>
          <w:p w14:paraId="1A044F41" w14:textId="77777777" w:rsidR="00C63A3C" w:rsidRPr="009C5A9F" w:rsidRDefault="00C63A3C" w:rsidP="00842547">
            <w:pPr>
              <w:pStyle w:val="Zpat"/>
              <w:jc w:val="center"/>
              <w:rPr>
                <w:rFonts w:ascii="Verdana" w:hAnsi="Verdana"/>
                <w:b/>
              </w:rPr>
            </w:pPr>
            <w:r w:rsidRPr="009C5A9F">
              <w:rPr>
                <w:rFonts w:ascii="Verdana" w:hAnsi="Verdana"/>
                <w:b/>
              </w:rPr>
              <w:t>Ing. Anna Píchová</w:t>
            </w:r>
          </w:p>
          <w:p w14:paraId="326139E5" w14:textId="77777777" w:rsidR="00C63A3C" w:rsidRPr="009C5A9F" w:rsidRDefault="00C63A3C" w:rsidP="00842547">
            <w:pPr>
              <w:pStyle w:val="Zpat"/>
              <w:jc w:val="center"/>
              <w:rPr>
                <w:rFonts w:ascii="Verdana" w:hAnsi="Verdana"/>
              </w:rPr>
            </w:pPr>
            <w:r w:rsidRPr="009C5A9F">
              <w:rPr>
                <w:rFonts w:ascii="Verdana" w:hAnsi="Verdana"/>
                <w:sz w:val="14"/>
              </w:rPr>
              <w:t>Vedoucí analytického oddělení CYRRUS</w:t>
            </w:r>
          </w:p>
        </w:tc>
        <w:tc>
          <w:tcPr>
            <w:tcW w:w="2659" w:type="dxa"/>
          </w:tcPr>
          <w:p w14:paraId="56F6D264" w14:textId="77777777" w:rsidR="00C63A3C" w:rsidRPr="009C5A9F" w:rsidRDefault="00C63A3C" w:rsidP="00842547">
            <w:pPr>
              <w:pStyle w:val="Zpat"/>
              <w:jc w:val="center"/>
              <w:rPr>
                <w:rFonts w:ascii="Verdana" w:hAnsi="Verdana"/>
                <w:b/>
              </w:rPr>
            </w:pPr>
            <w:r w:rsidRPr="009C5A9F">
              <w:rPr>
                <w:rFonts w:ascii="Verdana" w:hAnsi="Verdana"/>
                <w:b/>
              </w:rPr>
              <w:t xml:space="preserve">Tomáš </w:t>
            </w:r>
            <w:proofErr w:type="spellStart"/>
            <w:r w:rsidRPr="009C5A9F">
              <w:rPr>
                <w:rFonts w:ascii="Verdana" w:hAnsi="Verdana"/>
                <w:b/>
              </w:rPr>
              <w:t>Pfeiler</w:t>
            </w:r>
            <w:proofErr w:type="spellEnd"/>
            <w:r w:rsidRPr="009C5A9F">
              <w:rPr>
                <w:rFonts w:ascii="Verdana" w:hAnsi="Verdana"/>
                <w:b/>
              </w:rPr>
              <w:t>, CFA</w:t>
            </w:r>
          </w:p>
          <w:p w14:paraId="55F23C1D" w14:textId="77777777" w:rsidR="00C63A3C" w:rsidRPr="009C5A9F" w:rsidRDefault="00C63A3C" w:rsidP="00842547">
            <w:pPr>
              <w:pStyle w:val="Zpat"/>
              <w:jc w:val="center"/>
              <w:rPr>
                <w:rFonts w:ascii="Verdana" w:hAnsi="Verdana"/>
              </w:rPr>
            </w:pPr>
            <w:r w:rsidRPr="009C5A9F">
              <w:rPr>
                <w:rFonts w:ascii="Verdana" w:hAnsi="Verdana"/>
                <w:sz w:val="14"/>
              </w:rPr>
              <w:t>Portfolio manažer CYRRUS</w:t>
            </w:r>
          </w:p>
        </w:tc>
      </w:tr>
      <w:tr w:rsidR="00C63A3C" w:rsidRPr="009C5A9F" w14:paraId="1A2E2D0F" w14:textId="77777777" w:rsidTr="00C63A3C">
        <w:tc>
          <w:tcPr>
            <w:tcW w:w="2122" w:type="dxa"/>
            <w:vMerge/>
          </w:tcPr>
          <w:p w14:paraId="165CD6DB" w14:textId="77777777" w:rsidR="00C63A3C" w:rsidRPr="009C5A9F" w:rsidRDefault="00C63A3C" w:rsidP="00C63A3C">
            <w:pPr>
              <w:pStyle w:val="Zpat"/>
              <w:jc w:val="both"/>
              <w:rPr>
                <w:rFonts w:ascii="Verdana" w:hAnsi="Verdana"/>
              </w:rPr>
            </w:pPr>
          </w:p>
        </w:tc>
        <w:tc>
          <w:tcPr>
            <w:tcW w:w="2693" w:type="dxa"/>
          </w:tcPr>
          <w:p w14:paraId="02AB5013" w14:textId="77777777" w:rsidR="00C63A3C" w:rsidRPr="009C5A9F" w:rsidRDefault="00C63A3C" w:rsidP="00C63A3C">
            <w:pPr>
              <w:jc w:val="center"/>
              <w:rPr>
                <w:rFonts w:ascii="Verdana" w:hAnsi="Verdana"/>
                <w:sz w:val="16"/>
              </w:rPr>
            </w:pPr>
            <w:r w:rsidRPr="009C5A9F">
              <w:rPr>
                <w:rFonts w:ascii="Verdana" w:hAnsi="Verdana"/>
                <w:sz w:val="16"/>
              </w:rPr>
              <w:t>277 021 816</w:t>
            </w:r>
            <w:r w:rsidRPr="009C5A9F">
              <w:rPr>
                <w:rFonts w:ascii="Verdana" w:hAnsi="Verdana"/>
                <w:sz w:val="16"/>
              </w:rPr>
              <w:br/>
              <w:t>vit.hradil@cyrrus.cz</w:t>
            </w:r>
          </w:p>
        </w:tc>
        <w:tc>
          <w:tcPr>
            <w:tcW w:w="2982" w:type="dxa"/>
          </w:tcPr>
          <w:p w14:paraId="012BAB71" w14:textId="77777777" w:rsidR="00C63A3C" w:rsidRPr="009C5A9F" w:rsidRDefault="00C63A3C" w:rsidP="00C63A3C">
            <w:pPr>
              <w:jc w:val="center"/>
              <w:rPr>
                <w:rFonts w:ascii="Verdana" w:hAnsi="Verdana"/>
              </w:rPr>
            </w:pPr>
            <w:r w:rsidRPr="009C5A9F">
              <w:rPr>
                <w:rFonts w:ascii="Verdana" w:hAnsi="Verdana"/>
                <w:sz w:val="16"/>
              </w:rPr>
              <w:t>538 705 765</w:t>
            </w:r>
            <w:r w:rsidRPr="009C5A9F">
              <w:rPr>
                <w:rFonts w:ascii="Verdana" w:hAnsi="Verdana"/>
                <w:sz w:val="16"/>
              </w:rPr>
              <w:br/>
              <w:t>anna.pichova@cyrrus.cz</w:t>
            </w:r>
          </w:p>
        </w:tc>
        <w:tc>
          <w:tcPr>
            <w:tcW w:w="2659" w:type="dxa"/>
          </w:tcPr>
          <w:p w14:paraId="035CCCEC" w14:textId="77777777" w:rsidR="00C63A3C" w:rsidRPr="009C5A9F" w:rsidRDefault="00C63A3C" w:rsidP="00C63A3C">
            <w:pPr>
              <w:pStyle w:val="Zpat"/>
              <w:jc w:val="center"/>
              <w:rPr>
                <w:rFonts w:ascii="Verdana" w:hAnsi="Verdana"/>
              </w:rPr>
            </w:pPr>
            <w:r w:rsidRPr="009C5A9F">
              <w:rPr>
                <w:rFonts w:ascii="Verdana" w:hAnsi="Verdana"/>
                <w:sz w:val="16"/>
              </w:rPr>
              <w:t>277 021 819</w:t>
            </w:r>
            <w:r w:rsidRPr="009C5A9F">
              <w:rPr>
                <w:rFonts w:ascii="Verdana" w:hAnsi="Verdana"/>
                <w:sz w:val="16"/>
              </w:rPr>
              <w:br/>
              <w:t>tomas.pfeiler@cyrrus.cz</w:t>
            </w:r>
          </w:p>
        </w:tc>
      </w:tr>
      <w:tr w:rsidR="00C63A3C" w:rsidRPr="009C5A9F" w14:paraId="613B12CB" w14:textId="77777777" w:rsidTr="00C63A3C">
        <w:trPr>
          <w:trHeight w:val="480"/>
        </w:trPr>
        <w:tc>
          <w:tcPr>
            <w:tcW w:w="2122" w:type="dxa"/>
            <w:vMerge/>
          </w:tcPr>
          <w:p w14:paraId="7883490E" w14:textId="77777777" w:rsidR="00C63A3C" w:rsidRPr="009C5A9F" w:rsidRDefault="00C63A3C" w:rsidP="00C63A3C">
            <w:pPr>
              <w:pStyle w:val="Zpat"/>
              <w:jc w:val="both"/>
              <w:rPr>
                <w:rFonts w:ascii="Verdana" w:hAnsi="Verdana"/>
              </w:rPr>
            </w:pPr>
          </w:p>
        </w:tc>
        <w:tc>
          <w:tcPr>
            <w:tcW w:w="2693" w:type="dxa"/>
            <w:vAlign w:val="center"/>
          </w:tcPr>
          <w:p w14:paraId="5F96A1B7" w14:textId="77777777" w:rsidR="00C63A3C" w:rsidRPr="009C5A9F" w:rsidRDefault="00000000" w:rsidP="00C63A3C">
            <w:pPr>
              <w:jc w:val="center"/>
              <w:rPr>
                <w:rFonts w:ascii="Verdana" w:hAnsi="Verdana"/>
                <w:sz w:val="16"/>
              </w:rPr>
            </w:pPr>
            <w:hyperlink r:id="rId27" w:history="1">
              <w:r w:rsidR="00C63A3C" w:rsidRPr="009C5A9F">
                <w:rPr>
                  <w:rStyle w:val="Hypertextovodkaz"/>
                  <w:rFonts w:ascii="Verdana" w:hAnsi="Verdana"/>
                  <w:sz w:val="16"/>
                </w:rPr>
                <w:t>Fotografie</w:t>
              </w:r>
            </w:hyperlink>
          </w:p>
        </w:tc>
        <w:tc>
          <w:tcPr>
            <w:tcW w:w="2982" w:type="dxa"/>
            <w:vAlign w:val="center"/>
          </w:tcPr>
          <w:p w14:paraId="30C6D0A8" w14:textId="77777777" w:rsidR="00C63A3C" w:rsidRPr="009C5A9F" w:rsidRDefault="00000000" w:rsidP="00C63A3C">
            <w:pPr>
              <w:jc w:val="center"/>
              <w:rPr>
                <w:rFonts w:ascii="Verdana" w:hAnsi="Verdana"/>
                <w:sz w:val="16"/>
              </w:rPr>
            </w:pPr>
            <w:hyperlink r:id="rId28" w:history="1">
              <w:r w:rsidR="00C63A3C" w:rsidRPr="009C5A9F">
                <w:rPr>
                  <w:rStyle w:val="Hypertextovodkaz"/>
                  <w:rFonts w:ascii="Verdana" w:hAnsi="Verdana"/>
                  <w:sz w:val="16"/>
                </w:rPr>
                <w:t>Fotografie</w:t>
              </w:r>
            </w:hyperlink>
          </w:p>
        </w:tc>
        <w:tc>
          <w:tcPr>
            <w:tcW w:w="2659" w:type="dxa"/>
            <w:vAlign w:val="center"/>
          </w:tcPr>
          <w:p w14:paraId="563F9B71" w14:textId="77777777" w:rsidR="00C63A3C" w:rsidRPr="009C5A9F" w:rsidRDefault="00000000" w:rsidP="00C63A3C">
            <w:pPr>
              <w:pStyle w:val="Zpat"/>
              <w:jc w:val="center"/>
              <w:rPr>
                <w:rFonts w:ascii="Verdana" w:hAnsi="Verdana"/>
                <w:sz w:val="16"/>
              </w:rPr>
            </w:pPr>
            <w:hyperlink r:id="rId29" w:history="1">
              <w:r w:rsidR="00C63A3C" w:rsidRPr="009C5A9F">
                <w:rPr>
                  <w:rStyle w:val="Hypertextovodkaz"/>
                  <w:rFonts w:ascii="Verdana" w:hAnsi="Verdana"/>
                  <w:sz w:val="16"/>
                </w:rPr>
                <w:t>Fotografie</w:t>
              </w:r>
            </w:hyperlink>
          </w:p>
        </w:tc>
      </w:tr>
    </w:tbl>
    <w:p w14:paraId="0A471405" w14:textId="781B9637" w:rsidR="006A0D7B" w:rsidRPr="009C5A9F" w:rsidRDefault="00D64538" w:rsidP="00D64538">
      <w:pPr>
        <w:spacing w:line="360" w:lineRule="auto"/>
        <w:jc w:val="both"/>
        <w:rPr>
          <w:rFonts w:ascii="Verdana" w:hAnsi="Verdana"/>
          <w:sz w:val="16"/>
          <w:szCs w:val="16"/>
          <w:lang w:eastAsia="cs-CZ"/>
        </w:rPr>
      </w:pPr>
      <w:r w:rsidRPr="009C5A9F">
        <w:rPr>
          <w:rFonts w:ascii="Verdana" w:hAnsi="Verdana"/>
          <w:sz w:val="16"/>
          <w:szCs w:val="16"/>
          <w:lang w:eastAsia="cs-CZ"/>
        </w:rPr>
        <w:t>Příklady</w:t>
      </w:r>
      <w:r w:rsidR="00CA1BE5">
        <w:rPr>
          <w:rFonts w:ascii="Verdana" w:hAnsi="Verdana"/>
          <w:sz w:val="16"/>
          <w:szCs w:val="16"/>
          <w:lang w:eastAsia="cs-CZ"/>
        </w:rPr>
        <w:t xml:space="preserve"> </w:t>
      </w:r>
      <w:r w:rsidRPr="009C5A9F">
        <w:rPr>
          <w:rFonts w:ascii="Verdana" w:hAnsi="Verdana"/>
          <w:sz w:val="16"/>
          <w:szCs w:val="16"/>
          <w:lang w:eastAsia="cs-CZ"/>
        </w:rPr>
        <w:t>jsou</w:t>
      </w:r>
      <w:r w:rsidR="00CA1BE5">
        <w:rPr>
          <w:rFonts w:ascii="Verdana" w:hAnsi="Verdana"/>
          <w:sz w:val="16"/>
          <w:szCs w:val="16"/>
          <w:lang w:eastAsia="cs-CZ"/>
        </w:rPr>
        <w:t xml:space="preserve"> </w:t>
      </w:r>
      <w:r w:rsidRPr="009C5A9F">
        <w:rPr>
          <w:rFonts w:ascii="Verdana" w:hAnsi="Verdana"/>
          <w:sz w:val="16"/>
          <w:szCs w:val="16"/>
          <w:lang w:eastAsia="cs-CZ"/>
        </w:rPr>
        <w:t>založeny</w:t>
      </w:r>
      <w:r w:rsidR="00CA1BE5">
        <w:rPr>
          <w:rFonts w:ascii="Verdana" w:hAnsi="Verdana"/>
          <w:sz w:val="16"/>
          <w:szCs w:val="16"/>
          <w:lang w:eastAsia="cs-CZ"/>
        </w:rPr>
        <w:t xml:space="preserve"> </w:t>
      </w:r>
      <w:r w:rsidRPr="009C5A9F">
        <w:rPr>
          <w:rFonts w:ascii="Verdana" w:hAnsi="Verdana"/>
          <w:sz w:val="16"/>
          <w:szCs w:val="16"/>
          <w:lang w:eastAsia="cs-CZ"/>
        </w:rPr>
        <w:t>pouze</w:t>
      </w:r>
      <w:r w:rsidR="00CA1BE5">
        <w:rPr>
          <w:rFonts w:ascii="Verdana" w:hAnsi="Verdana"/>
          <w:sz w:val="16"/>
          <w:szCs w:val="16"/>
          <w:lang w:eastAsia="cs-CZ"/>
        </w:rPr>
        <w:t xml:space="preserve"> </w:t>
      </w:r>
      <w:r w:rsidRPr="009C5A9F">
        <w:rPr>
          <w:rFonts w:ascii="Verdana" w:hAnsi="Verdana"/>
          <w:sz w:val="16"/>
          <w:szCs w:val="16"/>
          <w:lang w:eastAsia="cs-CZ"/>
        </w:rPr>
        <w:t>na</w:t>
      </w:r>
      <w:r w:rsidR="00CA1BE5">
        <w:rPr>
          <w:rFonts w:ascii="Verdana" w:hAnsi="Verdana"/>
          <w:sz w:val="16"/>
          <w:szCs w:val="16"/>
          <w:lang w:eastAsia="cs-CZ"/>
        </w:rPr>
        <w:t xml:space="preserve"> </w:t>
      </w:r>
      <w:r w:rsidRPr="009C5A9F">
        <w:rPr>
          <w:rFonts w:ascii="Verdana" w:hAnsi="Verdana"/>
          <w:sz w:val="16"/>
          <w:szCs w:val="16"/>
          <w:lang w:eastAsia="cs-CZ"/>
        </w:rPr>
        <w:t>hypotetických</w:t>
      </w:r>
      <w:r w:rsidR="00CA1BE5">
        <w:rPr>
          <w:rFonts w:ascii="Verdana" w:hAnsi="Verdana"/>
          <w:sz w:val="16"/>
          <w:szCs w:val="16"/>
          <w:lang w:eastAsia="cs-CZ"/>
        </w:rPr>
        <w:t xml:space="preserve"> </w:t>
      </w:r>
      <w:r w:rsidRPr="009C5A9F">
        <w:rPr>
          <w:rFonts w:ascii="Verdana" w:hAnsi="Verdana"/>
          <w:sz w:val="16"/>
          <w:szCs w:val="16"/>
          <w:lang w:eastAsia="cs-CZ"/>
        </w:rPr>
        <w:t>předpokladech</w:t>
      </w:r>
      <w:r w:rsidR="00CA1BE5">
        <w:rPr>
          <w:rFonts w:ascii="Verdana" w:hAnsi="Verdana"/>
          <w:sz w:val="16"/>
          <w:szCs w:val="16"/>
          <w:lang w:eastAsia="cs-CZ"/>
        </w:rPr>
        <w:t xml:space="preserve"> </w:t>
      </w:r>
      <w:r w:rsidRPr="009C5A9F">
        <w:rPr>
          <w:rFonts w:ascii="Verdana" w:hAnsi="Verdana"/>
          <w:sz w:val="16"/>
          <w:szCs w:val="16"/>
          <w:lang w:eastAsia="cs-CZ"/>
        </w:rPr>
        <w:t>a</w:t>
      </w:r>
      <w:r w:rsidR="00CA1BE5">
        <w:rPr>
          <w:rFonts w:ascii="Verdana" w:hAnsi="Verdana"/>
          <w:sz w:val="16"/>
          <w:szCs w:val="16"/>
          <w:lang w:eastAsia="cs-CZ"/>
        </w:rPr>
        <w:t xml:space="preserve"> </w:t>
      </w:r>
      <w:r w:rsidRPr="009C5A9F">
        <w:rPr>
          <w:rFonts w:ascii="Verdana" w:hAnsi="Verdana"/>
          <w:sz w:val="16"/>
          <w:szCs w:val="16"/>
          <w:lang w:eastAsia="cs-CZ"/>
        </w:rPr>
        <w:t>neumožňují</w:t>
      </w:r>
      <w:r w:rsidR="00CA1BE5">
        <w:rPr>
          <w:rFonts w:ascii="Verdana" w:hAnsi="Verdana"/>
          <w:sz w:val="16"/>
          <w:szCs w:val="16"/>
          <w:lang w:eastAsia="cs-CZ"/>
        </w:rPr>
        <w:t xml:space="preserve"> </w:t>
      </w:r>
      <w:r w:rsidRPr="009C5A9F">
        <w:rPr>
          <w:rFonts w:ascii="Verdana" w:hAnsi="Verdana"/>
          <w:sz w:val="16"/>
          <w:szCs w:val="16"/>
          <w:lang w:eastAsia="cs-CZ"/>
        </w:rPr>
        <w:t>jakýkoli</w:t>
      </w:r>
      <w:r w:rsidR="00CA1BE5">
        <w:rPr>
          <w:rFonts w:ascii="Verdana" w:hAnsi="Verdana"/>
          <w:sz w:val="16"/>
          <w:szCs w:val="16"/>
          <w:lang w:eastAsia="cs-CZ"/>
        </w:rPr>
        <w:t xml:space="preserve"> </w:t>
      </w:r>
      <w:r w:rsidRPr="009C5A9F">
        <w:rPr>
          <w:rFonts w:ascii="Verdana" w:hAnsi="Verdana"/>
          <w:sz w:val="16"/>
          <w:szCs w:val="16"/>
          <w:lang w:eastAsia="cs-CZ"/>
        </w:rPr>
        <w:t>závěr</w:t>
      </w:r>
      <w:r w:rsidR="00CA1BE5">
        <w:rPr>
          <w:rFonts w:ascii="Verdana" w:hAnsi="Verdana"/>
          <w:sz w:val="16"/>
          <w:szCs w:val="16"/>
          <w:lang w:eastAsia="cs-CZ"/>
        </w:rPr>
        <w:t xml:space="preserve"> </w:t>
      </w:r>
      <w:r w:rsidRPr="009C5A9F">
        <w:rPr>
          <w:rFonts w:ascii="Verdana" w:hAnsi="Verdana"/>
          <w:sz w:val="16"/>
          <w:szCs w:val="16"/>
          <w:lang w:eastAsia="cs-CZ"/>
        </w:rPr>
        <w:t>o</w:t>
      </w:r>
      <w:r w:rsidR="00CA1BE5">
        <w:rPr>
          <w:rFonts w:ascii="Verdana" w:hAnsi="Verdana"/>
          <w:sz w:val="16"/>
          <w:szCs w:val="16"/>
          <w:lang w:eastAsia="cs-CZ"/>
        </w:rPr>
        <w:t xml:space="preserve"> </w:t>
      </w:r>
      <w:r w:rsidRPr="009C5A9F">
        <w:rPr>
          <w:rFonts w:ascii="Verdana" w:hAnsi="Verdana"/>
          <w:sz w:val="16"/>
          <w:szCs w:val="16"/>
          <w:lang w:eastAsia="cs-CZ"/>
        </w:rPr>
        <w:t>budoucím</w:t>
      </w:r>
      <w:r w:rsidR="00CA1BE5">
        <w:rPr>
          <w:rFonts w:ascii="Verdana" w:hAnsi="Verdana"/>
          <w:sz w:val="16"/>
          <w:szCs w:val="16"/>
          <w:lang w:eastAsia="cs-CZ"/>
        </w:rPr>
        <w:t xml:space="preserve"> </w:t>
      </w:r>
      <w:r w:rsidRPr="009C5A9F">
        <w:rPr>
          <w:rFonts w:ascii="Verdana" w:hAnsi="Verdana"/>
          <w:sz w:val="16"/>
          <w:szCs w:val="16"/>
          <w:lang w:eastAsia="cs-CZ"/>
        </w:rPr>
        <w:t>vývoji</w:t>
      </w:r>
      <w:r w:rsidR="00CA1BE5">
        <w:rPr>
          <w:rFonts w:ascii="Verdana" w:hAnsi="Verdana"/>
          <w:sz w:val="16"/>
          <w:szCs w:val="16"/>
          <w:lang w:eastAsia="cs-CZ"/>
        </w:rPr>
        <w:t xml:space="preserve"> </w:t>
      </w:r>
      <w:r w:rsidRPr="009C5A9F">
        <w:rPr>
          <w:rFonts w:ascii="Verdana" w:hAnsi="Verdana"/>
          <w:sz w:val="16"/>
          <w:szCs w:val="16"/>
          <w:lang w:eastAsia="cs-CZ"/>
        </w:rPr>
        <w:t>ceny</w:t>
      </w:r>
      <w:r w:rsidR="00CA1BE5">
        <w:rPr>
          <w:rFonts w:ascii="Verdana" w:hAnsi="Verdana"/>
          <w:sz w:val="16"/>
          <w:szCs w:val="16"/>
          <w:lang w:eastAsia="cs-CZ"/>
        </w:rPr>
        <w:t xml:space="preserve"> </w:t>
      </w:r>
      <w:r w:rsidRPr="009C5A9F">
        <w:rPr>
          <w:rFonts w:ascii="Verdana" w:hAnsi="Verdana"/>
          <w:sz w:val="16"/>
          <w:szCs w:val="16"/>
          <w:lang w:eastAsia="cs-CZ"/>
        </w:rPr>
        <w:t>investičního</w:t>
      </w:r>
      <w:r w:rsidR="00CA1BE5">
        <w:rPr>
          <w:rFonts w:ascii="Verdana" w:hAnsi="Verdana"/>
          <w:sz w:val="16"/>
          <w:szCs w:val="16"/>
          <w:lang w:eastAsia="cs-CZ"/>
        </w:rPr>
        <w:t xml:space="preserve"> </w:t>
      </w:r>
      <w:r w:rsidRPr="009C5A9F">
        <w:rPr>
          <w:rFonts w:ascii="Verdana" w:hAnsi="Verdana"/>
          <w:sz w:val="16"/>
          <w:szCs w:val="16"/>
          <w:lang w:eastAsia="cs-CZ"/>
        </w:rPr>
        <w:t>nástroje.</w:t>
      </w:r>
      <w:r w:rsidR="00CA1BE5">
        <w:rPr>
          <w:rFonts w:ascii="Verdana" w:hAnsi="Verdana"/>
          <w:sz w:val="16"/>
          <w:szCs w:val="16"/>
          <w:lang w:eastAsia="cs-CZ"/>
        </w:rPr>
        <w:t xml:space="preserve"> </w:t>
      </w:r>
      <w:r w:rsidRPr="009C5A9F">
        <w:rPr>
          <w:rFonts w:ascii="Verdana" w:hAnsi="Verdana"/>
          <w:sz w:val="16"/>
          <w:szCs w:val="16"/>
          <w:lang w:eastAsia="cs-CZ"/>
        </w:rPr>
        <w:t>Zdanění</w:t>
      </w:r>
      <w:r w:rsidR="00CA1BE5">
        <w:rPr>
          <w:rFonts w:ascii="Verdana" w:hAnsi="Verdana"/>
          <w:sz w:val="16"/>
          <w:szCs w:val="16"/>
          <w:lang w:eastAsia="cs-CZ"/>
        </w:rPr>
        <w:t xml:space="preserve"> </w:t>
      </w:r>
      <w:r w:rsidRPr="009C5A9F">
        <w:rPr>
          <w:rFonts w:ascii="Verdana" w:hAnsi="Verdana"/>
          <w:sz w:val="16"/>
          <w:szCs w:val="16"/>
          <w:lang w:eastAsia="cs-CZ"/>
        </w:rPr>
        <w:t>je</w:t>
      </w:r>
      <w:r w:rsidR="00CA1BE5">
        <w:rPr>
          <w:rFonts w:ascii="Verdana" w:hAnsi="Verdana"/>
          <w:sz w:val="16"/>
          <w:szCs w:val="16"/>
          <w:lang w:eastAsia="cs-CZ"/>
        </w:rPr>
        <w:t xml:space="preserve"> </w:t>
      </w:r>
      <w:r w:rsidRPr="009C5A9F">
        <w:rPr>
          <w:rFonts w:ascii="Verdana" w:hAnsi="Verdana"/>
          <w:sz w:val="16"/>
          <w:szCs w:val="16"/>
          <w:lang w:eastAsia="cs-CZ"/>
        </w:rPr>
        <w:t>závislé</w:t>
      </w:r>
      <w:r w:rsidR="00CA1BE5">
        <w:rPr>
          <w:rFonts w:ascii="Verdana" w:hAnsi="Verdana"/>
          <w:sz w:val="16"/>
          <w:szCs w:val="16"/>
          <w:lang w:eastAsia="cs-CZ"/>
        </w:rPr>
        <w:t xml:space="preserve"> </w:t>
      </w:r>
      <w:r w:rsidRPr="009C5A9F">
        <w:rPr>
          <w:rFonts w:ascii="Verdana" w:hAnsi="Verdana"/>
          <w:sz w:val="16"/>
          <w:szCs w:val="16"/>
          <w:lang w:eastAsia="cs-CZ"/>
        </w:rPr>
        <w:t>na</w:t>
      </w:r>
      <w:r w:rsidR="00CA1BE5">
        <w:rPr>
          <w:rFonts w:ascii="Verdana" w:hAnsi="Verdana"/>
          <w:sz w:val="16"/>
          <w:szCs w:val="16"/>
          <w:lang w:eastAsia="cs-CZ"/>
        </w:rPr>
        <w:t xml:space="preserve"> </w:t>
      </w:r>
      <w:r w:rsidRPr="009C5A9F">
        <w:rPr>
          <w:rFonts w:ascii="Verdana" w:hAnsi="Verdana"/>
          <w:sz w:val="16"/>
          <w:szCs w:val="16"/>
          <w:lang w:eastAsia="cs-CZ"/>
        </w:rPr>
        <w:t>osobních</w:t>
      </w:r>
      <w:r w:rsidR="00CA1BE5">
        <w:rPr>
          <w:rFonts w:ascii="Verdana" w:hAnsi="Verdana"/>
          <w:sz w:val="16"/>
          <w:szCs w:val="16"/>
          <w:lang w:eastAsia="cs-CZ"/>
        </w:rPr>
        <w:t xml:space="preserve"> </w:t>
      </w:r>
      <w:r w:rsidRPr="009C5A9F">
        <w:rPr>
          <w:rFonts w:ascii="Verdana" w:hAnsi="Verdana"/>
          <w:sz w:val="16"/>
          <w:szCs w:val="16"/>
          <w:lang w:eastAsia="cs-CZ"/>
        </w:rPr>
        <w:t>poměrech každého investora a podléhá zákonným předpisům a dohledu příslušných úřadů. Tento dokument byl připraven s náležitou a patřičnou</w:t>
      </w:r>
      <w:r w:rsidR="00CA1BE5">
        <w:rPr>
          <w:rFonts w:ascii="Verdana" w:hAnsi="Verdana"/>
          <w:sz w:val="16"/>
          <w:szCs w:val="16"/>
          <w:lang w:eastAsia="cs-CZ"/>
        </w:rPr>
        <w:t xml:space="preserve"> </w:t>
      </w:r>
      <w:r w:rsidRPr="009C5A9F">
        <w:rPr>
          <w:rFonts w:ascii="Verdana" w:hAnsi="Verdana"/>
          <w:sz w:val="16"/>
          <w:szCs w:val="16"/>
          <w:lang w:eastAsia="cs-CZ"/>
        </w:rPr>
        <w:t>pečlivostí a</w:t>
      </w:r>
      <w:r w:rsidR="00CA1BE5">
        <w:rPr>
          <w:rFonts w:ascii="Verdana" w:hAnsi="Verdana"/>
          <w:sz w:val="16"/>
          <w:szCs w:val="16"/>
          <w:lang w:eastAsia="cs-CZ"/>
        </w:rPr>
        <w:t xml:space="preserve"> </w:t>
      </w:r>
      <w:r w:rsidRPr="009C5A9F">
        <w:rPr>
          <w:rFonts w:ascii="Verdana" w:hAnsi="Verdana"/>
          <w:sz w:val="16"/>
          <w:szCs w:val="16"/>
          <w:lang w:eastAsia="cs-CZ"/>
        </w:rPr>
        <w:t>pozorností,</w:t>
      </w:r>
      <w:r w:rsidR="00CA1BE5">
        <w:rPr>
          <w:rFonts w:ascii="Verdana" w:hAnsi="Verdana"/>
          <w:sz w:val="16"/>
          <w:szCs w:val="16"/>
          <w:lang w:eastAsia="cs-CZ"/>
        </w:rPr>
        <w:t xml:space="preserve"> </w:t>
      </w:r>
      <w:r w:rsidRPr="009C5A9F">
        <w:rPr>
          <w:rFonts w:ascii="Verdana" w:hAnsi="Verdana"/>
          <w:sz w:val="16"/>
          <w:szCs w:val="16"/>
          <w:lang w:eastAsia="cs-CZ"/>
        </w:rPr>
        <w:t>společnost</w:t>
      </w:r>
      <w:r w:rsidR="00CA1BE5">
        <w:rPr>
          <w:rFonts w:ascii="Verdana" w:hAnsi="Verdana"/>
          <w:sz w:val="16"/>
          <w:szCs w:val="16"/>
          <w:lang w:eastAsia="cs-CZ"/>
        </w:rPr>
        <w:t xml:space="preserve"> </w:t>
      </w:r>
      <w:r w:rsidRPr="009C5A9F">
        <w:rPr>
          <w:rFonts w:ascii="Verdana" w:hAnsi="Verdana"/>
          <w:sz w:val="16"/>
          <w:szCs w:val="16"/>
          <w:lang w:eastAsia="cs-CZ"/>
        </w:rPr>
        <w:t>však</w:t>
      </w:r>
      <w:r w:rsidR="00CA1BE5">
        <w:rPr>
          <w:rFonts w:ascii="Verdana" w:hAnsi="Verdana"/>
          <w:sz w:val="16"/>
          <w:szCs w:val="16"/>
          <w:lang w:eastAsia="cs-CZ"/>
        </w:rPr>
        <w:t xml:space="preserve"> </w:t>
      </w:r>
      <w:r w:rsidRPr="009C5A9F">
        <w:rPr>
          <w:rFonts w:ascii="Verdana" w:hAnsi="Verdana"/>
          <w:sz w:val="16"/>
          <w:szCs w:val="16"/>
          <w:lang w:eastAsia="cs-CZ"/>
        </w:rPr>
        <w:t>neposkytuje garance či ujištění, ať výslovné nebo předpokládané, o</w:t>
      </w:r>
      <w:r w:rsidR="00CA1BE5">
        <w:rPr>
          <w:rFonts w:ascii="Verdana" w:hAnsi="Verdana"/>
          <w:sz w:val="16"/>
          <w:szCs w:val="16"/>
          <w:lang w:eastAsia="cs-CZ"/>
        </w:rPr>
        <w:t xml:space="preserve"> </w:t>
      </w:r>
      <w:r w:rsidRPr="009C5A9F">
        <w:rPr>
          <w:rFonts w:ascii="Verdana" w:hAnsi="Verdana"/>
          <w:sz w:val="16"/>
          <w:szCs w:val="16"/>
          <w:lang w:eastAsia="cs-CZ"/>
        </w:rPr>
        <w:t>jeho</w:t>
      </w:r>
      <w:r w:rsidR="00CA1BE5">
        <w:rPr>
          <w:rFonts w:ascii="Verdana" w:hAnsi="Verdana"/>
          <w:sz w:val="16"/>
          <w:szCs w:val="16"/>
          <w:lang w:eastAsia="cs-CZ"/>
        </w:rPr>
        <w:t xml:space="preserve"> </w:t>
      </w:r>
      <w:r w:rsidRPr="009C5A9F">
        <w:rPr>
          <w:rFonts w:ascii="Verdana" w:hAnsi="Verdana"/>
          <w:sz w:val="16"/>
          <w:szCs w:val="16"/>
          <w:lang w:eastAsia="cs-CZ"/>
        </w:rPr>
        <w:t>přesnosti,</w:t>
      </w:r>
      <w:r w:rsidR="00CA1BE5">
        <w:rPr>
          <w:rFonts w:ascii="Verdana" w:hAnsi="Verdana"/>
          <w:sz w:val="16"/>
          <w:szCs w:val="16"/>
          <w:lang w:eastAsia="cs-CZ"/>
        </w:rPr>
        <w:t xml:space="preserve"> </w:t>
      </w:r>
      <w:r w:rsidRPr="009C5A9F">
        <w:rPr>
          <w:rFonts w:ascii="Verdana" w:hAnsi="Verdana"/>
          <w:sz w:val="16"/>
          <w:szCs w:val="16"/>
          <w:lang w:eastAsia="cs-CZ"/>
        </w:rPr>
        <w:t>správnosti,</w:t>
      </w:r>
      <w:r w:rsidR="00CA1BE5">
        <w:rPr>
          <w:rFonts w:ascii="Verdana" w:hAnsi="Verdana"/>
          <w:sz w:val="16"/>
          <w:szCs w:val="16"/>
          <w:lang w:eastAsia="cs-CZ"/>
        </w:rPr>
        <w:t xml:space="preserve"> </w:t>
      </w:r>
      <w:r w:rsidRPr="009C5A9F">
        <w:rPr>
          <w:rFonts w:ascii="Verdana" w:hAnsi="Verdana"/>
          <w:sz w:val="16"/>
          <w:szCs w:val="16"/>
          <w:lang w:eastAsia="cs-CZ"/>
        </w:rPr>
        <w:t>aktuálnosti</w:t>
      </w:r>
      <w:r w:rsidR="00CA1BE5">
        <w:rPr>
          <w:rFonts w:ascii="Verdana" w:hAnsi="Verdana"/>
          <w:sz w:val="16"/>
          <w:szCs w:val="16"/>
          <w:lang w:eastAsia="cs-CZ"/>
        </w:rPr>
        <w:t xml:space="preserve"> </w:t>
      </w:r>
      <w:r w:rsidRPr="009C5A9F">
        <w:rPr>
          <w:rFonts w:ascii="Verdana" w:hAnsi="Verdana"/>
          <w:sz w:val="16"/>
          <w:szCs w:val="16"/>
          <w:lang w:eastAsia="cs-CZ"/>
        </w:rPr>
        <w:t>nebo</w:t>
      </w:r>
      <w:r w:rsidR="00CA1BE5">
        <w:rPr>
          <w:rFonts w:ascii="Verdana" w:hAnsi="Verdana"/>
          <w:sz w:val="16"/>
          <w:szCs w:val="16"/>
          <w:lang w:eastAsia="cs-CZ"/>
        </w:rPr>
        <w:t xml:space="preserve"> </w:t>
      </w:r>
      <w:r w:rsidRPr="009C5A9F">
        <w:rPr>
          <w:rFonts w:ascii="Verdana" w:hAnsi="Verdana"/>
          <w:sz w:val="16"/>
          <w:szCs w:val="16"/>
          <w:lang w:eastAsia="cs-CZ"/>
        </w:rPr>
        <w:t>úplnosti.</w:t>
      </w:r>
      <w:r w:rsidR="00CA1BE5">
        <w:rPr>
          <w:rFonts w:ascii="Verdana" w:hAnsi="Verdana"/>
          <w:sz w:val="16"/>
          <w:szCs w:val="16"/>
          <w:lang w:eastAsia="cs-CZ"/>
        </w:rPr>
        <w:t xml:space="preserve"> </w:t>
      </w:r>
      <w:r w:rsidRPr="009C5A9F">
        <w:rPr>
          <w:rFonts w:ascii="Verdana" w:hAnsi="Verdana"/>
          <w:sz w:val="16"/>
          <w:szCs w:val="16"/>
          <w:lang w:eastAsia="cs-CZ"/>
        </w:rPr>
        <w:t>Z</w:t>
      </w:r>
      <w:r w:rsidR="00CA1BE5">
        <w:rPr>
          <w:rFonts w:ascii="Verdana" w:hAnsi="Verdana"/>
          <w:sz w:val="16"/>
          <w:szCs w:val="16"/>
          <w:lang w:eastAsia="cs-CZ"/>
        </w:rPr>
        <w:t xml:space="preserve"> </w:t>
      </w:r>
      <w:r w:rsidRPr="009C5A9F">
        <w:rPr>
          <w:rFonts w:ascii="Verdana" w:hAnsi="Verdana"/>
          <w:sz w:val="16"/>
          <w:szCs w:val="16"/>
          <w:lang w:eastAsia="cs-CZ"/>
        </w:rPr>
        <w:t>informací v</w:t>
      </w:r>
      <w:r w:rsidR="00CA1BE5">
        <w:rPr>
          <w:rFonts w:ascii="Verdana" w:hAnsi="Verdana"/>
          <w:sz w:val="16"/>
          <w:szCs w:val="16"/>
          <w:lang w:eastAsia="cs-CZ"/>
        </w:rPr>
        <w:t xml:space="preserve"> </w:t>
      </w:r>
      <w:r w:rsidRPr="009C5A9F">
        <w:rPr>
          <w:rFonts w:ascii="Verdana" w:hAnsi="Verdana"/>
          <w:sz w:val="16"/>
          <w:szCs w:val="16"/>
          <w:lang w:eastAsia="cs-CZ"/>
        </w:rPr>
        <w:t>tomto</w:t>
      </w:r>
      <w:r w:rsidR="00CA1BE5">
        <w:rPr>
          <w:rFonts w:ascii="Verdana" w:hAnsi="Verdana"/>
          <w:sz w:val="16"/>
          <w:szCs w:val="16"/>
          <w:lang w:eastAsia="cs-CZ"/>
        </w:rPr>
        <w:t xml:space="preserve"> </w:t>
      </w:r>
      <w:r w:rsidRPr="009C5A9F">
        <w:rPr>
          <w:rFonts w:ascii="Verdana" w:hAnsi="Verdana"/>
          <w:sz w:val="16"/>
          <w:szCs w:val="16"/>
          <w:lang w:eastAsia="cs-CZ"/>
        </w:rPr>
        <w:t>dokumentu není</w:t>
      </w:r>
      <w:r w:rsidR="00CA1BE5">
        <w:rPr>
          <w:rFonts w:ascii="Verdana" w:hAnsi="Verdana"/>
          <w:sz w:val="16"/>
          <w:szCs w:val="16"/>
          <w:lang w:eastAsia="cs-CZ"/>
        </w:rPr>
        <w:t xml:space="preserve"> </w:t>
      </w:r>
      <w:r w:rsidRPr="009C5A9F">
        <w:rPr>
          <w:rFonts w:ascii="Verdana" w:hAnsi="Verdana"/>
          <w:sz w:val="16"/>
          <w:szCs w:val="16"/>
          <w:lang w:eastAsia="cs-CZ"/>
        </w:rPr>
        <w:t>možné odvozovat</w:t>
      </w:r>
      <w:r w:rsidR="00CA1BE5">
        <w:rPr>
          <w:rFonts w:ascii="Verdana" w:hAnsi="Verdana"/>
          <w:sz w:val="16"/>
          <w:szCs w:val="16"/>
          <w:lang w:eastAsia="cs-CZ"/>
        </w:rPr>
        <w:t xml:space="preserve"> </w:t>
      </w:r>
      <w:r w:rsidRPr="009C5A9F">
        <w:rPr>
          <w:rFonts w:ascii="Verdana" w:hAnsi="Verdana"/>
          <w:sz w:val="16"/>
          <w:szCs w:val="16"/>
          <w:lang w:eastAsia="cs-CZ"/>
        </w:rPr>
        <w:t>žádná práva</w:t>
      </w:r>
      <w:r w:rsidR="00CA1BE5">
        <w:rPr>
          <w:rFonts w:ascii="Verdana" w:hAnsi="Verdana"/>
          <w:sz w:val="16"/>
          <w:szCs w:val="16"/>
          <w:lang w:eastAsia="cs-CZ"/>
        </w:rPr>
        <w:t xml:space="preserve"> </w:t>
      </w:r>
      <w:r w:rsidRPr="009C5A9F">
        <w:rPr>
          <w:rFonts w:ascii="Verdana" w:hAnsi="Verdana"/>
          <w:sz w:val="16"/>
          <w:szCs w:val="16"/>
          <w:lang w:eastAsia="cs-CZ"/>
        </w:rPr>
        <w:t>ani povinnosti. Informace o společnosti a podrobné informace o</w:t>
      </w:r>
      <w:r w:rsidR="00CA1BE5">
        <w:rPr>
          <w:rFonts w:ascii="Verdana" w:hAnsi="Verdana"/>
          <w:sz w:val="16"/>
          <w:szCs w:val="16"/>
          <w:lang w:eastAsia="cs-CZ"/>
        </w:rPr>
        <w:t xml:space="preserve"> </w:t>
      </w:r>
      <w:r w:rsidRPr="009C5A9F">
        <w:rPr>
          <w:rFonts w:ascii="Verdana" w:hAnsi="Verdana"/>
          <w:sz w:val="16"/>
          <w:szCs w:val="16"/>
          <w:lang w:eastAsia="cs-CZ"/>
        </w:rPr>
        <w:t>pobídkách</w:t>
      </w:r>
      <w:r w:rsidR="00CA1BE5">
        <w:rPr>
          <w:rFonts w:ascii="Verdana" w:hAnsi="Verdana"/>
          <w:sz w:val="16"/>
          <w:szCs w:val="16"/>
          <w:lang w:eastAsia="cs-CZ"/>
        </w:rPr>
        <w:t xml:space="preserve"> </w:t>
      </w:r>
      <w:r w:rsidRPr="009C5A9F">
        <w:rPr>
          <w:rFonts w:ascii="Verdana" w:hAnsi="Verdana"/>
          <w:sz w:val="16"/>
          <w:szCs w:val="16"/>
          <w:lang w:eastAsia="cs-CZ"/>
        </w:rPr>
        <w:t>a střetech zájmů</w:t>
      </w:r>
      <w:r w:rsidR="00CA1BE5">
        <w:rPr>
          <w:rFonts w:ascii="Verdana" w:hAnsi="Verdana"/>
          <w:sz w:val="16"/>
          <w:szCs w:val="16"/>
          <w:lang w:eastAsia="cs-CZ"/>
        </w:rPr>
        <w:t xml:space="preserve"> </w:t>
      </w:r>
      <w:r w:rsidRPr="009C5A9F">
        <w:rPr>
          <w:rFonts w:ascii="Verdana" w:hAnsi="Verdana"/>
          <w:sz w:val="16"/>
          <w:szCs w:val="16"/>
          <w:lang w:eastAsia="cs-CZ"/>
        </w:rPr>
        <w:t>naleznete na www.cyrrus.cz</w:t>
      </w:r>
      <w:r w:rsidR="00CA1BE5">
        <w:rPr>
          <w:rFonts w:ascii="Verdana" w:hAnsi="Verdana"/>
          <w:sz w:val="16"/>
          <w:szCs w:val="16"/>
          <w:lang w:eastAsia="cs-CZ"/>
        </w:rPr>
        <w:t xml:space="preserve"> </w:t>
      </w:r>
      <w:r w:rsidRPr="009C5A9F">
        <w:rPr>
          <w:rFonts w:ascii="Verdana" w:hAnsi="Verdana"/>
          <w:sz w:val="16"/>
          <w:szCs w:val="16"/>
          <w:lang w:eastAsia="cs-CZ"/>
        </w:rPr>
        <w:t>v sekci O společnosti.</w:t>
      </w:r>
      <w:r w:rsidR="00CA1BE5">
        <w:rPr>
          <w:rFonts w:ascii="Verdana" w:hAnsi="Verdana"/>
          <w:sz w:val="16"/>
          <w:szCs w:val="16"/>
          <w:lang w:eastAsia="cs-CZ"/>
        </w:rPr>
        <w:t xml:space="preserve"> </w:t>
      </w:r>
      <w:r w:rsidRPr="009C5A9F">
        <w:rPr>
          <w:rFonts w:ascii="Verdana" w:hAnsi="Verdana"/>
          <w:sz w:val="16"/>
          <w:szCs w:val="16"/>
          <w:lang w:eastAsia="cs-CZ"/>
        </w:rPr>
        <w:t>Tiskové chyby vyhrazeny.</w:t>
      </w:r>
      <w:r w:rsidR="00CA1BE5">
        <w:rPr>
          <w:rFonts w:ascii="Verdana" w:hAnsi="Verdana"/>
          <w:sz w:val="16"/>
          <w:szCs w:val="16"/>
          <w:lang w:eastAsia="cs-CZ"/>
        </w:rPr>
        <w:t xml:space="preserve"> </w:t>
      </w:r>
      <w:r w:rsidRPr="009C5A9F">
        <w:rPr>
          <w:rFonts w:ascii="Verdana" w:hAnsi="Verdana"/>
          <w:sz w:val="16"/>
          <w:szCs w:val="16"/>
          <w:lang w:eastAsia="cs-CZ"/>
        </w:rPr>
        <w:t>Obsah dokumentu</w:t>
      </w:r>
      <w:r w:rsidR="00CA1BE5">
        <w:rPr>
          <w:rFonts w:ascii="Verdana" w:hAnsi="Verdana"/>
          <w:sz w:val="16"/>
          <w:szCs w:val="16"/>
          <w:lang w:eastAsia="cs-CZ"/>
        </w:rPr>
        <w:t xml:space="preserve"> </w:t>
      </w:r>
      <w:r w:rsidRPr="009C5A9F">
        <w:rPr>
          <w:rFonts w:ascii="Verdana" w:hAnsi="Verdana"/>
          <w:sz w:val="16"/>
          <w:szCs w:val="16"/>
          <w:lang w:eastAsia="cs-CZ"/>
        </w:rPr>
        <w:t>je chráněn dle autorského zákona, majitelem autorských práv je společnost. Společnost zakazuje zveřejnění a šíření dokumentu bez jejího písemného souhlasu. Společnost nenese odpovědnost za šíření nebo uveřejnění dokumentu třetími osobami.</w:t>
      </w:r>
    </w:p>
    <w:p w14:paraId="639F3B86" w14:textId="62251525" w:rsidR="00D64538" w:rsidRPr="009C5A9F" w:rsidRDefault="00D64538" w:rsidP="00D64538">
      <w:pPr>
        <w:spacing w:line="360" w:lineRule="auto"/>
        <w:jc w:val="both"/>
        <w:rPr>
          <w:rFonts w:ascii="Verdana" w:hAnsi="Verdana"/>
          <w:sz w:val="16"/>
          <w:szCs w:val="16"/>
          <w:lang w:eastAsia="cs-CZ"/>
        </w:rPr>
      </w:pPr>
      <w:r w:rsidRPr="009C5A9F">
        <w:rPr>
          <w:rFonts w:ascii="Verdana" w:hAnsi="Verdana"/>
          <w:sz w:val="16"/>
          <w:szCs w:val="16"/>
          <w:lang w:eastAsia="cs-CZ"/>
        </w:rPr>
        <w:t xml:space="preserve">Uzávěrka statistických dat: </w:t>
      </w:r>
      <w:r w:rsidR="00265FCD">
        <w:rPr>
          <w:rFonts w:ascii="Verdana" w:hAnsi="Verdana"/>
          <w:sz w:val="16"/>
          <w:szCs w:val="16"/>
          <w:lang w:eastAsia="cs-CZ"/>
        </w:rPr>
        <w:t>28</w:t>
      </w:r>
      <w:r w:rsidR="00364C7F">
        <w:rPr>
          <w:rFonts w:ascii="Verdana" w:hAnsi="Verdana"/>
          <w:sz w:val="16"/>
          <w:szCs w:val="16"/>
          <w:lang w:eastAsia="cs-CZ"/>
        </w:rPr>
        <w:t>.</w:t>
      </w:r>
      <w:r w:rsidR="00265FCD">
        <w:rPr>
          <w:rFonts w:ascii="Verdana" w:hAnsi="Verdana"/>
          <w:sz w:val="16"/>
          <w:szCs w:val="16"/>
          <w:lang w:eastAsia="cs-CZ"/>
        </w:rPr>
        <w:t>11</w:t>
      </w:r>
      <w:r w:rsidRPr="009C5A9F">
        <w:rPr>
          <w:rFonts w:ascii="Verdana" w:hAnsi="Verdana"/>
          <w:sz w:val="16"/>
          <w:szCs w:val="16"/>
          <w:lang w:eastAsia="cs-CZ"/>
        </w:rPr>
        <w:t>.2022</w:t>
      </w:r>
    </w:p>
    <w:p w14:paraId="3F01DD86" w14:textId="77777777" w:rsidR="00C63A3C" w:rsidRPr="009C5A9F" w:rsidRDefault="00C63A3C" w:rsidP="00D64538">
      <w:pPr>
        <w:spacing w:line="360" w:lineRule="auto"/>
        <w:jc w:val="both"/>
        <w:rPr>
          <w:rFonts w:ascii="Verdana" w:hAnsi="Verdana"/>
          <w:sz w:val="16"/>
          <w:szCs w:val="16"/>
          <w:lang w:eastAsia="cs-CZ"/>
        </w:rPr>
      </w:pPr>
    </w:p>
    <w:sectPr w:rsidR="00C63A3C" w:rsidRPr="009C5A9F" w:rsidSect="006A0D7B">
      <w:pgSz w:w="11906" w:h="16838"/>
      <w:pgMar w:top="720" w:right="720" w:bottom="1701" w:left="720" w:header="567" w:footer="1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EC5D" w14:textId="77777777" w:rsidR="00266949" w:rsidRDefault="00266949" w:rsidP="00605702">
      <w:pPr>
        <w:spacing w:after="0" w:line="240" w:lineRule="auto"/>
      </w:pPr>
      <w:r>
        <w:separator/>
      </w:r>
    </w:p>
  </w:endnote>
  <w:endnote w:type="continuationSeparator" w:id="0">
    <w:p w14:paraId="00BCE3D7" w14:textId="77777777" w:rsidR="00266949" w:rsidRDefault="00266949" w:rsidP="0060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charset w:val="00"/>
    <w:family w:val="swiss"/>
    <w:pitch w:val="variable"/>
    <w:sig w:usb0="600002F7" w:usb1="02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xa Text">
    <w:altName w:val="Arial"/>
    <w:panose1 w:val="00000000000000000000"/>
    <w:charset w:val="00"/>
    <w:family w:val="modern"/>
    <w:notTrueType/>
    <w:pitch w:val="variable"/>
    <w:sig w:usb0="80000207" w:usb1="00000073" w:usb2="00000000" w:usb3="00000000" w:csb0="00000097" w:csb1="00000000"/>
  </w:font>
  <w:font w:name="Roboto">
    <w:charset w:val="00"/>
    <w:family w:val="auto"/>
    <w:pitch w:val="variable"/>
    <w:sig w:usb0="E00002FF" w:usb1="5000205B" w:usb2="00000020" w:usb3="00000000" w:csb0="0000019F" w:csb1="00000000"/>
  </w:font>
  <w:font w:name="Nexa Extra Bold">
    <w:altName w:val="Arial"/>
    <w:panose1 w:val="00000000000000000000"/>
    <w:charset w:val="00"/>
    <w:family w:val="modern"/>
    <w:notTrueType/>
    <w:pitch w:val="variable"/>
    <w:sig w:usb0="80000207" w:usb1="00000073" w:usb2="00000000" w:usb3="00000000" w:csb0="00000097"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rPr>
      <w:id w:val="-975989515"/>
      <w:docPartObj>
        <w:docPartGallery w:val="Page Numbers (Bottom of Page)"/>
        <w:docPartUnique/>
      </w:docPartObj>
    </w:sdtPr>
    <w:sdtContent>
      <w:p w14:paraId="24489106" w14:textId="27E9B18F" w:rsidR="000A4CDF" w:rsidRPr="004C02B7" w:rsidRDefault="000A4CDF">
        <w:pPr>
          <w:pStyle w:val="Zpat"/>
          <w:jc w:val="center"/>
          <w:rPr>
            <w:rFonts w:ascii="Verdana" w:hAnsi="Verdana"/>
          </w:rPr>
        </w:pPr>
        <w:r w:rsidRPr="004C02B7">
          <w:rPr>
            <w:rFonts w:ascii="Verdana" w:hAnsi="Verdana"/>
          </w:rPr>
          <w:fldChar w:fldCharType="begin"/>
        </w:r>
        <w:r w:rsidRPr="004C02B7">
          <w:rPr>
            <w:rFonts w:ascii="Verdana" w:hAnsi="Verdana"/>
          </w:rPr>
          <w:instrText>PAGE   \* MERGEFORMAT</w:instrText>
        </w:r>
        <w:r w:rsidRPr="004C02B7">
          <w:rPr>
            <w:rFonts w:ascii="Verdana" w:hAnsi="Verdana"/>
          </w:rPr>
          <w:fldChar w:fldCharType="separate"/>
        </w:r>
        <w:r w:rsidR="00AD7FAD">
          <w:rPr>
            <w:rFonts w:ascii="Verdana" w:hAnsi="Verdana"/>
            <w:noProof/>
          </w:rPr>
          <w:t>1</w:t>
        </w:r>
        <w:r w:rsidRPr="004C02B7">
          <w:rPr>
            <w:rFonts w:ascii="Verdana" w:hAnsi="Verdana"/>
          </w:rPr>
          <w:fldChar w:fldCharType="end"/>
        </w:r>
      </w:p>
    </w:sdtContent>
  </w:sdt>
  <w:p w14:paraId="32F92566" w14:textId="77777777" w:rsidR="000A4CDF" w:rsidRPr="004C02B7" w:rsidRDefault="000A4CDF">
    <w:pPr>
      <w:pStyle w:val="Zpat"/>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6A7A" w14:textId="77777777" w:rsidR="00266949" w:rsidRDefault="00266949" w:rsidP="00605702">
      <w:pPr>
        <w:spacing w:after="0" w:line="240" w:lineRule="auto"/>
      </w:pPr>
      <w:r>
        <w:separator/>
      </w:r>
    </w:p>
  </w:footnote>
  <w:footnote w:type="continuationSeparator" w:id="0">
    <w:p w14:paraId="5C3DAACF" w14:textId="77777777" w:rsidR="00266949" w:rsidRDefault="00266949" w:rsidP="00605702">
      <w:pPr>
        <w:spacing w:after="0" w:line="240" w:lineRule="auto"/>
      </w:pPr>
      <w:r>
        <w:continuationSeparator/>
      </w:r>
    </w:p>
  </w:footnote>
  <w:footnote w:id="1">
    <w:p w14:paraId="06A3A0CB" w14:textId="42788FB1" w:rsidR="000A4CDF" w:rsidRPr="000E2216" w:rsidRDefault="000A4CDF">
      <w:pPr>
        <w:pStyle w:val="Textpoznpodarou"/>
        <w:rPr>
          <w:rFonts w:ascii="Verdana" w:hAnsi="Verdana"/>
          <w:sz w:val="18"/>
        </w:rPr>
      </w:pPr>
      <w:r w:rsidRPr="000E2216">
        <w:rPr>
          <w:rStyle w:val="Znakapoznpodarou"/>
          <w:rFonts w:ascii="Verdana" w:hAnsi="Verdana"/>
          <w:sz w:val="18"/>
        </w:rPr>
        <w:footnoteRef/>
      </w:r>
      <w:r w:rsidRPr="000E2216">
        <w:rPr>
          <w:rFonts w:ascii="Verdana" w:hAnsi="Verdana"/>
          <w:sz w:val="18"/>
        </w:rPr>
        <w:t xml:space="preserve"> ČNB ve své aktuální prognóze počítá s -9,4 %, MFČR pak s -7,2 %</w:t>
      </w:r>
    </w:p>
  </w:footnote>
  <w:footnote w:id="2">
    <w:p w14:paraId="5B5ECF83" w14:textId="649D318D" w:rsidR="000A4CDF" w:rsidRPr="000E2216" w:rsidRDefault="000A4CDF">
      <w:pPr>
        <w:pStyle w:val="Textpoznpodarou"/>
        <w:rPr>
          <w:rFonts w:ascii="Verdana" w:hAnsi="Verdana"/>
          <w:sz w:val="18"/>
        </w:rPr>
      </w:pPr>
      <w:r w:rsidRPr="000E2216">
        <w:rPr>
          <w:rStyle w:val="Znakapoznpodarou"/>
          <w:rFonts w:ascii="Verdana" w:hAnsi="Verdana"/>
          <w:sz w:val="18"/>
        </w:rPr>
        <w:footnoteRef/>
      </w:r>
      <w:r w:rsidRPr="000E2216">
        <w:rPr>
          <w:rFonts w:ascii="Verdana" w:hAnsi="Verdana"/>
          <w:sz w:val="18"/>
        </w:rPr>
        <w:t xml:space="preserve"> Aktuálně viz například zde: </w:t>
      </w:r>
      <w:hyperlink r:id="rId1" w:history="1">
        <w:r w:rsidRPr="000E2216">
          <w:rPr>
            <w:rStyle w:val="Hypertextovodkaz"/>
            <w:rFonts w:ascii="Verdana" w:hAnsi="Verdana"/>
            <w:sz w:val="18"/>
          </w:rPr>
          <w:t>https://www.idnes.cz/zpravy/revue/spolecnost/jaroslava-obermaierova-plyn-drahe-energie-sebevrazda.A221124_111315_lidicky_zar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5421" w14:textId="1BFA9995" w:rsidR="000A4CDF" w:rsidRPr="006A0D7B" w:rsidRDefault="000A4CDF" w:rsidP="00E63AFF">
    <w:pPr>
      <w:pStyle w:val="Nadpis1"/>
      <w:rPr>
        <w:rFonts w:ascii="Verdana" w:eastAsiaTheme="minorHAnsi" w:hAnsi="Verdana" w:cs="Arial"/>
        <w:color w:val="FFC832"/>
        <w:sz w:val="36"/>
        <w:szCs w:val="36"/>
      </w:rPr>
    </w:pPr>
    <w:r w:rsidRPr="004874EA">
      <w:rPr>
        <w:rFonts w:ascii="Verdana" w:hAnsi="Verdana"/>
        <w:noProof/>
      </w:rPr>
      <w:drawing>
        <wp:anchor distT="0" distB="0" distL="114300" distR="114300" simplePos="0" relativeHeight="251657216" behindDoc="1" locked="0" layoutInCell="1" allowOverlap="1" wp14:anchorId="46188CC1" wp14:editId="36DCB240">
          <wp:simplePos x="0" y="0"/>
          <wp:positionH relativeFrom="column">
            <wp:posOffset>5199380</wp:posOffset>
          </wp:positionH>
          <wp:positionV relativeFrom="paragraph">
            <wp:posOffset>10795</wp:posOffset>
          </wp:positionV>
          <wp:extent cx="1553919" cy="300424"/>
          <wp:effectExtent l="0" t="0" r="8255" b="444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YRRU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3919" cy="300424"/>
                  </a:xfrm>
                  <a:prstGeom prst="rect">
                    <a:avLst/>
                  </a:prstGeom>
                  <a:noFill/>
                </pic:spPr>
              </pic:pic>
            </a:graphicData>
          </a:graphic>
          <wp14:sizeRelH relativeFrom="page">
            <wp14:pctWidth>0</wp14:pctWidth>
          </wp14:sizeRelH>
          <wp14:sizeRelV relativeFrom="page">
            <wp14:pctHeight>0</wp14:pctHeight>
          </wp14:sizeRelV>
        </wp:anchor>
      </w:drawing>
    </w:r>
    <w:r w:rsidRPr="004874EA">
      <w:rPr>
        <w:rFonts w:ascii="Verdana" w:eastAsiaTheme="minorHAnsi" w:hAnsi="Verdana" w:cs="Arial"/>
        <w:color w:val="FFC832"/>
        <w:sz w:val="36"/>
        <w:szCs w:val="36"/>
      </w:rPr>
      <w:t>Analýza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92D"/>
    <w:multiLevelType w:val="hybridMultilevel"/>
    <w:tmpl w:val="306040F6"/>
    <w:lvl w:ilvl="0" w:tplc="9D4CE74C">
      <w:start w:val="1"/>
      <w:numFmt w:val="bullet"/>
      <w:lvlText w:val="-"/>
      <w:lvlJc w:val="left"/>
      <w:pPr>
        <w:ind w:left="770" w:hanging="360"/>
      </w:pPr>
      <w:rPr>
        <w:rFonts w:ascii="Source Sans Pro" w:hAnsi="Source Sans Pro" w:hint="default"/>
        <w:b/>
        <w:i w:val="0"/>
        <w:color w:val="F47929" w:themeColor="text2"/>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 w15:restartNumberingAfterBreak="0">
    <w:nsid w:val="21FA3E07"/>
    <w:multiLevelType w:val="hybridMultilevel"/>
    <w:tmpl w:val="C6C8585E"/>
    <w:lvl w:ilvl="0" w:tplc="EB769EC0">
      <w:numFmt w:val="bullet"/>
      <w:lvlText w:val="-"/>
      <w:lvlJc w:val="left"/>
      <w:pPr>
        <w:ind w:left="720" w:hanging="360"/>
      </w:pPr>
      <w:rPr>
        <w:rFonts w:ascii="Nexa Text" w:eastAsiaTheme="minorHAnsi" w:hAnsi="Nexa Tex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751293"/>
    <w:multiLevelType w:val="hybridMultilevel"/>
    <w:tmpl w:val="67189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5570E07"/>
    <w:multiLevelType w:val="hybridMultilevel"/>
    <w:tmpl w:val="92C2BF96"/>
    <w:lvl w:ilvl="0" w:tplc="9E8E5604">
      <w:start w:val="1"/>
      <w:numFmt w:val="bullet"/>
      <w:lvlText w:val=""/>
      <w:lvlJc w:val="left"/>
      <w:pPr>
        <w:ind w:left="720" w:hanging="72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CF674E"/>
    <w:multiLevelType w:val="hybridMultilevel"/>
    <w:tmpl w:val="DF5206E0"/>
    <w:lvl w:ilvl="0" w:tplc="5D12D01E">
      <w:start w:val="1"/>
      <w:numFmt w:val="bullet"/>
      <w:lvlText w:val=""/>
      <w:lvlJc w:val="left"/>
      <w:pPr>
        <w:ind w:left="284" w:hanging="284"/>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C72765D"/>
    <w:multiLevelType w:val="hybridMultilevel"/>
    <w:tmpl w:val="9726F3A4"/>
    <w:lvl w:ilvl="0" w:tplc="4E74218E">
      <w:numFmt w:val="bullet"/>
      <w:lvlText w:val="-"/>
      <w:lvlJc w:val="left"/>
      <w:pPr>
        <w:ind w:left="720" w:hanging="360"/>
      </w:pPr>
      <w:rPr>
        <w:rFonts w:ascii="Roboto" w:eastAsiaTheme="minorHAnsi" w:hAnsi="Robot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85A45D9"/>
    <w:multiLevelType w:val="hybridMultilevel"/>
    <w:tmpl w:val="ABC8919C"/>
    <w:lvl w:ilvl="0" w:tplc="36861C36">
      <w:numFmt w:val="bullet"/>
      <w:lvlText w:val="-"/>
      <w:lvlJc w:val="left"/>
      <w:pPr>
        <w:ind w:left="720" w:hanging="360"/>
      </w:pPr>
      <w:rPr>
        <w:rFonts w:ascii="Nexa Text" w:eastAsiaTheme="minorHAnsi" w:hAnsi="Nexa Tex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B2F2626"/>
    <w:multiLevelType w:val="hybridMultilevel"/>
    <w:tmpl w:val="59D25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F661D8"/>
    <w:multiLevelType w:val="hybridMultilevel"/>
    <w:tmpl w:val="CAA6C056"/>
    <w:lvl w:ilvl="0" w:tplc="9D4CE74C">
      <w:start w:val="1"/>
      <w:numFmt w:val="bullet"/>
      <w:lvlText w:val="-"/>
      <w:lvlJc w:val="left"/>
      <w:pPr>
        <w:ind w:left="720" w:hanging="360"/>
      </w:pPr>
      <w:rPr>
        <w:rFonts w:ascii="Source Sans Pro" w:hAnsi="Source Sans Pro" w:hint="default"/>
        <w:b/>
        <w:i w:val="0"/>
        <w:color w:val="F47929" w:themeColor="text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B774D4D"/>
    <w:multiLevelType w:val="hybridMultilevel"/>
    <w:tmpl w:val="70FE4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19718868">
    <w:abstractNumId w:val="5"/>
  </w:num>
  <w:num w:numId="2" w16cid:durableId="1638029689">
    <w:abstractNumId w:val="9"/>
  </w:num>
  <w:num w:numId="3" w16cid:durableId="135493536">
    <w:abstractNumId w:val="8"/>
  </w:num>
  <w:num w:numId="4" w16cid:durableId="1675836300">
    <w:abstractNumId w:val="0"/>
  </w:num>
  <w:num w:numId="5" w16cid:durableId="1218052903">
    <w:abstractNumId w:val="7"/>
  </w:num>
  <w:num w:numId="6" w16cid:durableId="1628465217">
    <w:abstractNumId w:val="6"/>
  </w:num>
  <w:num w:numId="7" w16cid:durableId="579561470">
    <w:abstractNumId w:val="1"/>
  </w:num>
  <w:num w:numId="8" w16cid:durableId="1178347334">
    <w:abstractNumId w:val="2"/>
  </w:num>
  <w:num w:numId="9" w16cid:durableId="1827818862">
    <w:abstractNumId w:val="3"/>
  </w:num>
  <w:num w:numId="10" w16cid:durableId="1073895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DE"/>
    <w:rsid w:val="00021FFE"/>
    <w:rsid w:val="00025647"/>
    <w:rsid w:val="00025B8E"/>
    <w:rsid w:val="0004396C"/>
    <w:rsid w:val="000463AA"/>
    <w:rsid w:val="000516C4"/>
    <w:rsid w:val="00060AD9"/>
    <w:rsid w:val="000740C8"/>
    <w:rsid w:val="00080328"/>
    <w:rsid w:val="00080862"/>
    <w:rsid w:val="000A03F9"/>
    <w:rsid w:val="000A13FB"/>
    <w:rsid w:val="000A2BD4"/>
    <w:rsid w:val="000A4CDF"/>
    <w:rsid w:val="000B7462"/>
    <w:rsid w:val="000E2216"/>
    <w:rsid w:val="000E7350"/>
    <w:rsid w:val="000F003F"/>
    <w:rsid w:val="000F0A0B"/>
    <w:rsid w:val="000F1556"/>
    <w:rsid w:val="00105262"/>
    <w:rsid w:val="001074FB"/>
    <w:rsid w:val="00107B7C"/>
    <w:rsid w:val="00112B06"/>
    <w:rsid w:val="00120019"/>
    <w:rsid w:val="00126815"/>
    <w:rsid w:val="00132B08"/>
    <w:rsid w:val="001624B3"/>
    <w:rsid w:val="0016562E"/>
    <w:rsid w:val="0018494C"/>
    <w:rsid w:val="001A3BF8"/>
    <w:rsid w:val="001B5AA0"/>
    <w:rsid w:val="001C1CA8"/>
    <w:rsid w:val="001C649B"/>
    <w:rsid w:val="001C718D"/>
    <w:rsid w:val="001D211F"/>
    <w:rsid w:val="001D426E"/>
    <w:rsid w:val="001E1615"/>
    <w:rsid w:val="001E4414"/>
    <w:rsid w:val="001E6C3E"/>
    <w:rsid w:val="001E6E62"/>
    <w:rsid w:val="00202AC7"/>
    <w:rsid w:val="002030DE"/>
    <w:rsid w:val="00205EC9"/>
    <w:rsid w:val="002067BB"/>
    <w:rsid w:val="00212218"/>
    <w:rsid w:val="0021570E"/>
    <w:rsid w:val="00216737"/>
    <w:rsid w:val="002238AD"/>
    <w:rsid w:val="00224113"/>
    <w:rsid w:val="00224765"/>
    <w:rsid w:val="00225720"/>
    <w:rsid w:val="00226584"/>
    <w:rsid w:val="00233F18"/>
    <w:rsid w:val="0023536F"/>
    <w:rsid w:val="00237318"/>
    <w:rsid w:val="00253EBB"/>
    <w:rsid w:val="00257481"/>
    <w:rsid w:val="00261B03"/>
    <w:rsid w:val="00265FCD"/>
    <w:rsid w:val="00266949"/>
    <w:rsid w:val="002760ED"/>
    <w:rsid w:val="002857A3"/>
    <w:rsid w:val="00290770"/>
    <w:rsid w:val="00295B81"/>
    <w:rsid w:val="00297B6D"/>
    <w:rsid w:val="002B3AA3"/>
    <w:rsid w:val="002B3F70"/>
    <w:rsid w:val="002B48CC"/>
    <w:rsid w:val="002C1A8D"/>
    <w:rsid w:val="002C43A1"/>
    <w:rsid w:val="002D0788"/>
    <w:rsid w:val="002D3F8A"/>
    <w:rsid w:val="002F06B0"/>
    <w:rsid w:val="002F3A57"/>
    <w:rsid w:val="002F7416"/>
    <w:rsid w:val="00311BBC"/>
    <w:rsid w:val="00311C73"/>
    <w:rsid w:val="00314B23"/>
    <w:rsid w:val="00315366"/>
    <w:rsid w:val="00317CC4"/>
    <w:rsid w:val="00320A11"/>
    <w:rsid w:val="00324D55"/>
    <w:rsid w:val="00332635"/>
    <w:rsid w:val="00336DF1"/>
    <w:rsid w:val="00343C11"/>
    <w:rsid w:val="003630E6"/>
    <w:rsid w:val="00364C2D"/>
    <w:rsid w:val="00364C7F"/>
    <w:rsid w:val="00367AB0"/>
    <w:rsid w:val="00374DBE"/>
    <w:rsid w:val="00381E65"/>
    <w:rsid w:val="003838B3"/>
    <w:rsid w:val="00393C79"/>
    <w:rsid w:val="003961A5"/>
    <w:rsid w:val="003A1C1C"/>
    <w:rsid w:val="003B0F0D"/>
    <w:rsid w:val="003B61CA"/>
    <w:rsid w:val="003C4956"/>
    <w:rsid w:val="003F1F5C"/>
    <w:rsid w:val="003F206E"/>
    <w:rsid w:val="0040454A"/>
    <w:rsid w:val="004129FA"/>
    <w:rsid w:val="00417717"/>
    <w:rsid w:val="00421537"/>
    <w:rsid w:val="00421D5F"/>
    <w:rsid w:val="00422F7C"/>
    <w:rsid w:val="00461831"/>
    <w:rsid w:val="00470B3A"/>
    <w:rsid w:val="00475AB1"/>
    <w:rsid w:val="004874EA"/>
    <w:rsid w:val="004928ED"/>
    <w:rsid w:val="00495056"/>
    <w:rsid w:val="004A53F4"/>
    <w:rsid w:val="004C02B7"/>
    <w:rsid w:val="004C5C4B"/>
    <w:rsid w:val="004C781F"/>
    <w:rsid w:val="004D344F"/>
    <w:rsid w:val="004F0295"/>
    <w:rsid w:val="00511D6F"/>
    <w:rsid w:val="00512185"/>
    <w:rsid w:val="005141FC"/>
    <w:rsid w:val="00520695"/>
    <w:rsid w:val="005228AC"/>
    <w:rsid w:val="00524F63"/>
    <w:rsid w:val="00526BF2"/>
    <w:rsid w:val="00535AF7"/>
    <w:rsid w:val="005553CC"/>
    <w:rsid w:val="005701D0"/>
    <w:rsid w:val="00576CC1"/>
    <w:rsid w:val="0059171F"/>
    <w:rsid w:val="00593E70"/>
    <w:rsid w:val="005A0757"/>
    <w:rsid w:val="005B15ED"/>
    <w:rsid w:val="005B5EEB"/>
    <w:rsid w:val="005D5875"/>
    <w:rsid w:val="006040EA"/>
    <w:rsid w:val="00605702"/>
    <w:rsid w:val="00607F26"/>
    <w:rsid w:val="00620CC1"/>
    <w:rsid w:val="0063356F"/>
    <w:rsid w:val="0064000F"/>
    <w:rsid w:val="00640C91"/>
    <w:rsid w:val="006462C9"/>
    <w:rsid w:val="00647CBF"/>
    <w:rsid w:val="0065500F"/>
    <w:rsid w:val="0065552E"/>
    <w:rsid w:val="006560F4"/>
    <w:rsid w:val="006642B2"/>
    <w:rsid w:val="00684DDF"/>
    <w:rsid w:val="00685B93"/>
    <w:rsid w:val="00687909"/>
    <w:rsid w:val="006A0D7B"/>
    <w:rsid w:val="006A1512"/>
    <w:rsid w:val="006A1AF7"/>
    <w:rsid w:val="006A36C1"/>
    <w:rsid w:val="006B0018"/>
    <w:rsid w:val="006B0B8C"/>
    <w:rsid w:val="006B2C9D"/>
    <w:rsid w:val="006B330E"/>
    <w:rsid w:val="006C15F8"/>
    <w:rsid w:val="006E18FA"/>
    <w:rsid w:val="006E55CA"/>
    <w:rsid w:val="006F2AF4"/>
    <w:rsid w:val="007020FE"/>
    <w:rsid w:val="00702923"/>
    <w:rsid w:val="00715F4D"/>
    <w:rsid w:val="00723AF2"/>
    <w:rsid w:val="00723F0C"/>
    <w:rsid w:val="00724EB5"/>
    <w:rsid w:val="00743DDD"/>
    <w:rsid w:val="00754FD0"/>
    <w:rsid w:val="0077048A"/>
    <w:rsid w:val="00776D65"/>
    <w:rsid w:val="00783DEA"/>
    <w:rsid w:val="00792E2A"/>
    <w:rsid w:val="007A024E"/>
    <w:rsid w:val="007C2F6E"/>
    <w:rsid w:val="007C32BA"/>
    <w:rsid w:val="007D2B7C"/>
    <w:rsid w:val="007D2C90"/>
    <w:rsid w:val="007D4394"/>
    <w:rsid w:val="007D70DD"/>
    <w:rsid w:val="007E58EA"/>
    <w:rsid w:val="007F0B04"/>
    <w:rsid w:val="007F4FFC"/>
    <w:rsid w:val="008076BE"/>
    <w:rsid w:val="008125F8"/>
    <w:rsid w:val="00815E01"/>
    <w:rsid w:val="008274D4"/>
    <w:rsid w:val="00830520"/>
    <w:rsid w:val="00842547"/>
    <w:rsid w:val="0084588F"/>
    <w:rsid w:val="00857CD9"/>
    <w:rsid w:val="00863144"/>
    <w:rsid w:val="008658F1"/>
    <w:rsid w:val="00865C22"/>
    <w:rsid w:val="00872F87"/>
    <w:rsid w:val="00877D76"/>
    <w:rsid w:val="008969A5"/>
    <w:rsid w:val="008A0F57"/>
    <w:rsid w:val="008A5174"/>
    <w:rsid w:val="008B02AC"/>
    <w:rsid w:val="008C090A"/>
    <w:rsid w:val="008C11D4"/>
    <w:rsid w:val="008E612B"/>
    <w:rsid w:val="009045C2"/>
    <w:rsid w:val="00906AF7"/>
    <w:rsid w:val="00920450"/>
    <w:rsid w:val="009257A9"/>
    <w:rsid w:val="00925BF7"/>
    <w:rsid w:val="00926BE1"/>
    <w:rsid w:val="00941305"/>
    <w:rsid w:val="00951B9A"/>
    <w:rsid w:val="009751FB"/>
    <w:rsid w:val="00980DB9"/>
    <w:rsid w:val="0098311D"/>
    <w:rsid w:val="0098560E"/>
    <w:rsid w:val="00993D93"/>
    <w:rsid w:val="00997F5C"/>
    <w:rsid w:val="009A1CD3"/>
    <w:rsid w:val="009B20B1"/>
    <w:rsid w:val="009B5949"/>
    <w:rsid w:val="009B595B"/>
    <w:rsid w:val="009C5A9F"/>
    <w:rsid w:val="009C5E04"/>
    <w:rsid w:val="009D0819"/>
    <w:rsid w:val="009D4FCD"/>
    <w:rsid w:val="009F1029"/>
    <w:rsid w:val="00A03B09"/>
    <w:rsid w:val="00A07CB4"/>
    <w:rsid w:val="00A12DE1"/>
    <w:rsid w:val="00A208AC"/>
    <w:rsid w:val="00A33605"/>
    <w:rsid w:val="00A42961"/>
    <w:rsid w:val="00A435FF"/>
    <w:rsid w:val="00A44949"/>
    <w:rsid w:val="00A47FAA"/>
    <w:rsid w:val="00A574B8"/>
    <w:rsid w:val="00A6787C"/>
    <w:rsid w:val="00A75A3C"/>
    <w:rsid w:val="00A808C4"/>
    <w:rsid w:val="00A81BE9"/>
    <w:rsid w:val="00A81E49"/>
    <w:rsid w:val="00A90E95"/>
    <w:rsid w:val="00A928E2"/>
    <w:rsid w:val="00A940BF"/>
    <w:rsid w:val="00AA40B7"/>
    <w:rsid w:val="00AB1AB4"/>
    <w:rsid w:val="00AB1EE7"/>
    <w:rsid w:val="00AB59D1"/>
    <w:rsid w:val="00AC1BED"/>
    <w:rsid w:val="00AD3F63"/>
    <w:rsid w:val="00AD7FAD"/>
    <w:rsid w:val="00AE2F60"/>
    <w:rsid w:val="00AE41EF"/>
    <w:rsid w:val="00AE6810"/>
    <w:rsid w:val="00B13000"/>
    <w:rsid w:val="00B142EB"/>
    <w:rsid w:val="00B15547"/>
    <w:rsid w:val="00B17EF6"/>
    <w:rsid w:val="00B30D9F"/>
    <w:rsid w:val="00B3223B"/>
    <w:rsid w:val="00B333BC"/>
    <w:rsid w:val="00B348F4"/>
    <w:rsid w:val="00B43054"/>
    <w:rsid w:val="00B53907"/>
    <w:rsid w:val="00B55853"/>
    <w:rsid w:val="00B60F41"/>
    <w:rsid w:val="00B71A42"/>
    <w:rsid w:val="00B72B91"/>
    <w:rsid w:val="00B809D6"/>
    <w:rsid w:val="00B812F5"/>
    <w:rsid w:val="00B82807"/>
    <w:rsid w:val="00B91CD9"/>
    <w:rsid w:val="00B94416"/>
    <w:rsid w:val="00B95FFB"/>
    <w:rsid w:val="00B960CE"/>
    <w:rsid w:val="00B960D4"/>
    <w:rsid w:val="00BA68E7"/>
    <w:rsid w:val="00BA7FEF"/>
    <w:rsid w:val="00BC1CD2"/>
    <w:rsid w:val="00BD2D44"/>
    <w:rsid w:val="00BF026B"/>
    <w:rsid w:val="00BF0523"/>
    <w:rsid w:val="00BF0647"/>
    <w:rsid w:val="00BF3436"/>
    <w:rsid w:val="00BF6FE0"/>
    <w:rsid w:val="00C11428"/>
    <w:rsid w:val="00C12E92"/>
    <w:rsid w:val="00C229A9"/>
    <w:rsid w:val="00C36E42"/>
    <w:rsid w:val="00C44373"/>
    <w:rsid w:val="00C4736C"/>
    <w:rsid w:val="00C537B8"/>
    <w:rsid w:val="00C55EAB"/>
    <w:rsid w:val="00C63A3C"/>
    <w:rsid w:val="00C71BA5"/>
    <w:rsid w:val="00C732BA"/>
    <w:rsid w:val="00C756E6"/>
    <w:rsid w:val="00C81A45"/>
    <w:rsid w:val="00C82E0C"/>
    <w:rsid w:val="00C8580B"/>
    <w:rsid w:val="00C90383"/>
    <w:rsid w:val="00C90AFF"/>
    <w:rsid w:val="00CA0914"/>
    <w:rsid w:val="00CA1BE5"/>
    <w:rsid w:val="00CA4224"/>
    <w:rsid w:val="00CB0113"/>
    <w:rsid w:val="00CB6F69"/>
    <w:rsid w:val="00CC169C"/>
    <w:rsid w:val="00CC323B"/>
    <w:rsid w:val="00CC7DB7"/>
    <w:rsid w:val="00CD6427"/>
    <w:rsid w:val="00CE494E"/>
    <w:rsid w:val="00CF010E"/>
    <w:rsid w:val="00CF6C4A"/>
    <w:rsid w:val="00D01AF2"/>
    <w:rsid w:val="00D01EA4"/>
    <w:rsid w:val="00D03598"/>
    <w:rsid w:val="00D10C5E"/>
    <w:rsid w:val="00D4618A"/>
    <w:rsid w:val="00D54491"/>
    <w:rsid w:val="00D5715D"/>
    <w:rsid w:val="00D64538"/>
    <w:rsid w:val="00D915F3"/>
    <w:rsid w:val="00D93C41"/>
    <w:rsid w:val="00D97558"/>
    <w:rsid w:val="00D97EC9"/>
    <w:rsid w:val="00DA0755"/>
    <w:rsid w:val="00DA62B6"/>
    <w:rsid w:val="00DB5359"/>
    <w:rsid w:val="00DB543C"/>
    <w:rsid w:val="00DD72D3"/>
    <w:rsid w:val="00DE0EDC"/>
    <w:rsid w:val="00DE6035"/>
    <w:rsid w:val="00DF0EDF"/>
    <w:rsid w:val="00DF1381"/>
    <w:rsid w:val="00E05B51"/>
    <w:rsid w:val="00E07010"/>
    <w:rsid w:val="00E11679"/>
    <w:rsid w:val="00E13091"/>
    <w:rsid w:val="00E2486F"/>
    <w:rsid w:val="00E3241B"/>
    <w:rsid w:val="00E35270"/>
    <w:rsid w:val="00E4423E"/>
    <w:rsid w:val="00E57F22"/>
    <w:rsid w:val="00E63AFF"/>
    <w:rsid w:val="00E66F9E"/>
    <w:rsid w:val="00E71371"/>
    <w:rsid w:val="00E73D70"/>
    <w:rsid w:val="00E80C93"/>
    <w:rsid w:val="00E85761"/>
    <w:rsid w:val="00E94448"/>
    <w:rsid w:val="00EB1EA7"/>
    <w:rsid w:val="00EE7AA6"/>
    <w:rsid w:val="00F02181"/>
    <w:rsid w:val="00F20A90"/>
    <w:rsid w:val="00F265B2"/>
    <w:rsid w:val="00F271FF"/>
    <w:rsid w:val="00F272C2"/>
    <w:rsid w:val="00F31081"/>
    <w:rsid w:val="00F320A4"/>
    <w:rsid w:val="00F401F5"/>
    <w:rsid w:val="00F406E5"/>
    <w:rsid w:val="00F41E87"/>
    <w:rsid w:val="00F50ABB"/>
    <w:rsid w:val="00F60197"/>
    <w:rsid w:val="00F6458F"/>
    <w:rsid w:val="00F6491C"/>
    <w:rsid w:val="00F70750"/>
    <w:rsid w:val="00F7260B"/>
    <w:rsid w:val="00F7795C"/>
    <w:rsid w:val="00F8603F"/>
    <w:rsid w:val="00F914E0"/>
    <w:rsid w:val="00F96A09"/>
    <w:rsid w:val="00FA1023"/>
    <w:rsid w:val="00FA32EB"/>
    <w:rsid w:val="00FA3652"/>
    <w:rsid w:val="00FC295D"/>
    <w:rsid w:val="00FC485F"/>
    <w:rsid w:val="00FC6F2E"/>
    <w:rsid w:val="00FD0789"/>
    <w:rsid w:val="00FD5B70"/>
    <w:rsid w:val="00FD71AB"/>
    <w:rsid w:val="00FE1608"/>
    <w:rsid w:val="00FE1E22"/>
    <w:rsid w:val="00FF0C0D"/>
    <w:rsid w:val="00FF51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6BF2C"/>
  <w15:chartTrackingRefBased/>
  <w15:docId w15:val="{FD9B89A7-1E5E-4865-9E37-354F1242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737"/>
    <w:rPr>
      <w:sz w:val="18"/>
    </w:rPr>
  </w:style>
  <w:style w:type="paragraph" w:styleId="Nadpis1">
    <w:name w:val="heading 1"/>
    <w:basedOn w:val="Normln"/>
    <w:link w:val="Nadpis1Char"/>
    <w:uiPriority w:val="9"/>
    <w:qFormat/>
    <w:rsid w:val="00AB1AB4"/>
    <w:pPr>
      <w:spacing w:before="100" w:beforeAutospacing="1" w:after="100" w:afterAutospacing="1" w:line="240" w:lineRule="auto"/>
      <w:outlineLvl w:val="0"/>
    </w:pPr>
    <w:rPr>
      <w:rFonts w:asciiTheme="majorHAnsi" w:eastAsia="Times New Roman" w:hAnsiTheme="majorHAnsi" w:cs="Times New Roman"/>
      <w:b/>
      <w:bCs/>
      <w:kern w:val="36"/>
      <w:sz w:val="48"/>
      <w:szCs w:val="48"/>
      <w:lang w:eastAsia="cs-CZ"/>
    </w:rPr>
  </w:style>
  <w:style w:type="paragraph" w:styleId="Nadpis2">
    <w:name w:val="heading 2"/>
    <w:basedOn w:val="Normln"/>
    <w:next w:val="Normln"/>
    <w:link w:val="Nadpis2Char"/>
    <w:uiPriority w:val="9"/>
    <w:unhideWhenUsed/>
    <w:qFormat/>
    <w:rsid w:val="00AB1AB4"/>
    <w:pPr>
      <w:keepNext/>
      <w:keepLines/>
      <w:spacing w:before="40" w:after="0"/>
      <w:outlineLvl w:val="1"/>
    </w:pPr>
    <w:rPr>
      <w:rFonts w:asciiTheme="majorHAnsi" w:eastAsiaTheme="majorEastAsia" w:hAnsiTheme="majorHAnsi" w:cstheme="majorBidi"/>
      <w:sz w:val="32"/>
      <w:szCs w:val="26"/>
    </w:rPr>
  </w:style>
  <w:style w:type="paragraph" w:styleId="Nadpis3">
    <w:name w:val="heading 3"/>
    <w:basedOn w:val="Normln"/>
    <w:next w:val="Normln"/>
    <w:link w:val="Nadpis3Char"/>
    <w:uiPriority w:val="9"/>
    <w:unhideWhenUsed/>
    <w:qFormat/>
    <w:rsid w:val="00AB1AB4"/>
    <w:pPr>
      <w:keepNext/>
      <w:keepLines/>
      <w:spacing w:before="40" w:after="0"/>
      <w:outlineLvl w:val="2"/>
    </w:pPr>
    <w:rPr>
      <w:rFonts w:asciiTheme="majorHAnsi" w:eastAsiaTheme="majorEastAsia" w:hAnsiTheme="majorHAnsi" w:cstheme="majorBidi"/>
      <w:sz w:val="24"/>
      <w:szCs w:val="24"/>
    </w:rPr>
  </w:style>
  <w:style w:type="paragraph" w:styleId="Nadpis4">
    <w:name w:val="heading 4"/>
    <w:basedOn w:val="Normln"/>
    <w:next w:val="Normln"/>
    <w:link w:val="Nadpis4Char"/>
    <w:uiPriority w:val="9"/>
    <w:semiHidden/>
    <w:unhideWhenUsed/>
    <w:rsid w:val="00776D65"/>
    <w:pPr>
      <w:keepNext/>
      <w:keepLines/>
      <w:spacing w:before="40" w:after="0"/>
      <w:outlineLvl w:val="3"/>
    </w:pPr>
    <w:rPr>
      <w:rFonts w:asciiTheme="majorHAnsi" w:eastAsiaTheme="majorEastAsia" w:hAnsiTheme="majorHAnsi" w:cstheme="majorBidi"/>
      <w:i/>
      <w:iCs/>
      <w:color w:val="CA550A"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B1AB4"/>
    <w:rPr>
      <w:rFonts w:asciiTheme="majorHAnsi" w:eastAsia="Times New Roman" w:hAnsiTheme="majorHAnsi" w:cs="Times New Roman"/>
      <w:b/>
      <w:bCs/>
      <w:kern w:val="36"/>
      <w:sz w:val="48"/>
      <w:szCs w:val="48"/>
      <w:lang w:eastAsia="cs-CZ"/>
    </w:rPr>
  </w:style>
  <w:style w:type="character" w:styleId="Hypertextovodkaz">
    <w:name w:val="Hyperlink"/>
    <w:basedOn w:val="Standardnpsmoodstavce"/>
    <w:uiPriority w:val="99"/>
    <w:unhideWhenUsed/>
    <w:rsid w:val="00776D65"/>
    <w:rPr>
      <w:color w:val="003C73" w:themeColor="hyperlink"/>
      <w:u w:val="single"/>
    </w:rPr>
  </w:style>
  <w:style w:type="character" w:styleId="Siln">
    <w:name w:val="Strong"/>
    <w:basedOn w:val="Standardnpsmoodstavce"/>
    <w:uiPriority w:val="22"/>
    <w:qFormat/>
    <w:rsid w:val="00776D65"/>
    <w:rPr>
      <w:b/>
      <w:bCs/>
    </w:rPr>
  </w:style>
  <w:style w:type="character" w:customStyle="1" w:styleId="Nadpis2Char">
    <w:name w:val="Nadpis 2 Char"/>
    <w:basedOn w:val="Standardnpsmoodstavce"/>
    <w:link w:val="Nadpis2"/>
    <w:uiPriority w:val="9"/>
    <w:rsid w:val="00AB1AB4"/>
    <w:rPr>
      <w:rFonts w:asciiTheme="majorHAnsi" w:eastAsiaTheme="majorEastAsia" w:hAnsiTheme="majorHAnsi" w:cstheme="majorBidi"/>
      <w:sz w:val="32"/>
      <w:szCs w:val="26"/>
    </w:rPr>
  </w:style>
  <w:style w:type="character" w:customStyle="1" w:styleId="Nadpis4Char">
    <w:name w:val="Nadpis 4 Char"/>
    <w:basedOn w:val="Standardnpsmoodstavce"/>
    <w:link w:val="Nadpis4"/>
    <w:uiPriority w:val="9"/>
    <w:semiHidden/>
    <w:rsid w:val="00776D65"/>
    <w:rPr>
      <w:rFonts w:asciiTheme="majorHAnsi" w:eastAsiaTheme="majorEastAsia" w:hAnsiTheme="majorHAnsi" w:cstheme="majorBidi"/>
      <w:i/>
      <w:iCs/>
      <w:color w:val="CA550A" w:themeColor="accent1" w:themeShade="BF"/>
    </w:rPr>
  </w:style>
  <w:style w:type="paragraph" w:styleId="Odstavecseseznamem">
    <w:name w:val="List Paragraph"/>
    <w:basedOn w:val="Normln"/>
    <w:uiPriority w:val="34"/>
    <w:qFormat/>
    <w:rsid w:val="00776D65"/>
    <w:pPr>
      <w:ind w:left="720"/>
      <w:contextualSpacing/>
    </w:pPr>
  </w:style>
  <w:style w:type="paragraph" w:styleId="Zhlav">
    <w:name w:val="header"/>
    <w:basedOn w:val="Normln"/>
    <w:link w:val="ZhlavChar"/>
    <w:uiPriority w:val="99"/>
    <w:unhideWhenUsed/>
    <w:rsid w:val="006057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5702"/>
  </w:style>
  <w:style w:type="paragraph" w:styleId="Zpat">
    <w:name w:val="footer"/>
    <w:basedOn w:val="Normln"/>
    <w:link w:val="ZpatChar"/>
    <w:uiPriority w:val="99"/>
    <w:unhideWhenUsed/>
    <w:rsid w:val="00605702"/>
    <w:pPr>
      <w:tabs>
        <w:tab w:val="center" w:pos="4536"/>
        <w:tab w:val="right" w:pos="9072"/>
      </w:tabs>
      <w:spacing w:after="0" w:line="240" w:lineRule="auto"/>
    </w:pPr>
  </w:style>
  <w:style w:type="character" w:customStyle="1" w:styleId="ZpatChar">
    <w:name w:val="Zápatí Char"/>
    <w:basedOn w:val="Standardnpsmoodstavce"/>
    <w:link w:val="Zpat"/>
    <w:uiPriority w:val="99"/>
    <w:rsid w:val="00605702"/>
  </w:style>
  <w:style w:type="character" w:customStyle="1" w:styleId="Nadpis3Char">
    <w:name w:val="Nadpis 3 Char"/>
    <w:basedOn w:val="Standardnpsmoodstavce"/>
    <w:link w:val="Nadpis3"/>
    <w:uiPriority w:val="9"/>
    <w:rsid w:val="00AB1AB4"/>
    <w:rPr>
      <w:rFonts w:asciiTheme="majorHAnsi" w:eastAsiaTheme="majorEastAsia" w:hAnsiTheme="majorHAnsi" w:cstheme="majorBidi"/>
      <w:sz w:val="24"/>
      <w:szCs w:val="24"/>
    </w:rPr>
  </w:style>
  <w:style w:type="paragraph" w:styleId="Bezmezer">
    <w:name w:val="No Spacing"/>
    <w:uiPriority w:val="1"/>
    <w:qFormat/>
    <w:rsid w:val="00DE0EDC"/>
    <w:pPr>
      <w:spacing w:after="0" w:line="240" w:lineRule="auto"/>
    </w:pPr>
    <w:rPr>
      <w:sz w:val="18"/>
    </w:rPr>
  </w:style>
  <w:style w:type="paragraph" w:styleId="Nzev">
    <w:name w:val="Title"/>
    <w:basedOn w:val="Normln"/>
    <w:next w:val="Normln"/>
    <w:link w:val="NzevChar"/>
    <w:uiPriority w:val="10"/>
    <w:qFormat/>
    <w:rsid w:val="00317C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17CC4"/>
    <w:rPr>
      <w:rFonts w:asciiTheme="majorHAnsi" w:eastAsiaTheme="majorEastAsia" w:hAnsiTheme="majorHAnsi" w:cstheme="majorBidi"/>
      <w:spacing w:val="-10"/>
      <w:kern w:val="28"/>
      <w:sz w:val="56"/>
      <w:szCs w:val="56"/>
    </w:rPr>
  </w:style>
  <w:style w:type="paragraph" w:styleId="Vrazncitt">
    <w:name w:val="Intense Quote"/>
    <w:basedOn w:val="Normln"/>
    <w:next w:val="Normln"/>
    <w:link w:val="VrazncittChar"/>
    <w:uiPriority w:val="30"/>
    <w:qFormat/>
    <w:rsid w:val="00317CC4"/>
    <w:pPr>
      <w:pBdr>
        <w:top w:val="single" w:sz="18" w:space="10" w:color="FFC832" w:themeColor="background2"/>
        <w:left w:val="single" w:sz="18" w:space="4" w:color="FFC832" w:themeColor="background2"/>
        <w:bottom w:val="single" w:sz="18" w:space="10" w:color="FFC832" w:themeColor="background2"/>
        <w:right w:val="single" w:sz="18" w:space="4" w:color="FFC832" w:themeColor="background2"/>
      </w:pBdr>
      <w:shd w:val="clear" w:color="auto" w:fill="FFC832" w:themeFill="background2"/>
      <w:spacing w:before="360" w:after="360"/>
      <w:ind w:left="864" w:right="864"/>
      <w:jc w:val="center"/>
    </w:pPr>
    <w:rPr>
      <w:i/>
      <w:iCs/>
      <w:color w:val="000000" w:themeColor="text1"/>
    </w:rPr>
  </w:style>
  <w:style w:type="character" w:customStyle="1" w:styleId="VrazncittChar">
    <w:name w:val="Výrazný citát Char"/>
    <w:basedOn w:val="Standardnpsmoodstavce"/>
    <w:link w:val="Vrazncitt"/>
    <w:uiPriority w:val="30"/>
    <w:rsid w:val="00317CC4"/>
    <w:rPr>
      <w:i/>
      <w:iCs/>
      <w:color w:val="000000" w:themeColor="text1"/>
      <w:shd w:val="clear" w:color="auto" w:fill="FFC832" w:themeFill="background2"/>
    </w:rPr>
  </w:style>
  <w:style w:type="character" w:styleId="Odkazintenzivn">
    <w:name w:val="Intense Reference"/>
    <w:basedOn w:val="Standardnpsmoodstavce"/>
    <w:uiPriority w:val="32"/>
    <w:qFormat/>
    <w:rsid w:val="008969A5"/>
    <w:rPr>
      <w:b/>
      <w:bCs/>
      <w:smallCaps/>
      <w:color w:val="F47929" w:themeColor="accent1"/>
      <w:spacing w:val="5"/>
    </w:rPr>
  </w:style>
  <w:style w:type="character" w:styleId="Odkazjemn">
    <w:name w:val="Subtle Reference"/>
    <w:basedOn w:val="Standardnpsmoodstavce"/>
    <w:uiPriority w:val="31"/>
    <w:qFormat/>
    <w:rsid w:val="008969A5"/>
    <w:rPr>
      <w:smallCaps/>
      <w:color w:val="5A5A5A" w:themeColor="text1" w:themeTint="A5"/>
    </w:rPr>
  </w:style>
  <w:style w:type="table" w:styleId="Mkatabulky">
    <w:name w:val="Table Grid"/>
    <w:basedOn w:val="Normlntabulka"/>
    <w:uiPriority w:val="39"/>
    <w:rsid w:val="00896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5228AC"/>
    <w:rPr>
      <w:sz w:val="16"/>
      <w:szCs w:val="16"/>
    </w:rPr>
  </w:style>
  <w:style w:type="paragraph" w:styleId="Textkomente">
    <w:name w:val="annotation text"/>
    <w:basedOn w:val="Normln"/>
    <w:link w:val="TextkomenteChar"/>
    <w:uiPriority w:val="99"/>
    <w:semiHidden/>
    <w:unhideWhenUsed/>
    <w:rsid w:val="005228AC"/>
    <w:pPr>
      <w:spacing w:line="240" w:lineRule="auto"/>
    </w:pPr>
    <w:rPr>
      <w:sz w:val="20"/>
      <w:szCs w:val="20"/>
    </w:rPr>
  </w:style>
  <w:style w:type="character" w:customStyle="1" w:styleId="TextkomenteChar">
    <w:name w:val="Text komentáře Char"/>
    <w:basedOn w:val="Standardnpsmoodstavce"/>
    <w:link w:val="Textkomente"/>
    <w:uiPriority w:val="99"/>
    <w:semiHidden/>
    <w:rsid w:val="005228AC"/>
    <w:rPr>
      <w:sz w:val="20"/>
      <w:szCs w:val="20"/>
    </w:rPr>
  </w:style>
  <w:style w:type="paragraph" w:styleId="Pedmtkomente">
    <w:name w:val="annotation subject"/>
    <w:basedOn w:val="Textkomente"/>
    <w:next w:val="Textkomente"/>
    <w:link w:val="PedmtkomenteChar"/>
    <w:uiPriority w:val="99"/>
    <w:semiHidden/>
    <w:unhideWhenUsed/>
    <w:rsid w:val="005228AC"/>
    <w:rPr>
      <w:b/>
      <w:bCs/>
    </w:rPr>
  </w:style>
  <w:style w:type="character" w:customStyle="1" w:styleId="PedmtkomenteChar">
    <w:name w:val="Předmět komentáře Char"/>
    <w:basedOn w:val="TextkomenteChar"/>
    <w:link w:val="Pedmtkomente"/>
    <w:uiPriority w:val="99"/>
    <w:semiHidden/>
    <w:rsid w:val="005228AC"/>
    <w:rPr>
      <w:b/>
      <w:bCs/>
      <w:sz w:val="20"/>
      <w:szCs w:val="20"/>
    </w:rPr>
  </w:style>
  <w:style w:type="character" w:customStyle="1" w:styleId="Nevyeenzmnka1">
    <w:name w:val="Nevyřešená zmínka1"/>
    <w:basedOn w:val="Standardnpsmoodstavce"/>
    <w:uiPriority w:val="99"/>
    <w:semiHidden/>
    <w:unhideWhenUsed/>
    <w:rsid w:val="005228AC"/>
    <w:rPr>
      <w:color w:val="605E5C"/>
      <w:shd w:val="clear" w:color="auto" w:fill="E1DFDD"/>
    </w:rPr>
  </w:style>
  <w:style w:type="paragraph" w:styleId="Textbubliny">
    <w:name w:val="Balloon Text"/>
    <w:basedOn w:val="Normln"/>
    <w:link w:val="TextbublinyChar"/>
    <w:uiPriority w:val="99"/>
    <w:semiHidden/>
    <w:unhideWhenUsed/>
    <w:rsid w:val="000F0A0B"/>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0F0A0B"/>
    <w:rPr>
      <w:rFonts w:ascii="Segoe UI" w:hAnsi="Segoe UI" w:cs="Segoe UI"/>
      <w:sz w:val="18"/>
      <w:szCs w:val="18"/>
    </w:rPr>
  </w:style>
  <w:style w:type="character" w:styleId="Sledovanodkaz">
    <w:name w:val="FollowedHyperlink"/>
    <w:basedOn w:val="Standardnpsmoodstavce"/>
    <w:uiPriority w:val="99"/>
    <w:semiHidden/>
    <w:unhideWhenUsed/>
    <w:rsid w:val="00512185"/>
    <w:rPr>
      <w:color w:val="00284E" w:themeColor="followedHyperlink"/>
      <w:u w:val="single"/>
    </w:rPr>
  </w:style>
  <w:style w:type="paragraph" w:styleId="Revize">
    <w:name w:val="Revision"/>
    <w:hidden/>
    <w:uiPriority w:val="99"/>
    <w:semiHidden/>
    <w:rsid w:val="00842547"/>
    <w:pPr>
      <w:spacing w:after="0" w:line="240" w:lineRule="auto"/>
    </w:pPr>
    <w:rPr>
      <w:sz w:val="18"/>
    </w:rPr>
  </w:style>
  <w:style w:type="paragraph" w:styleId="Textpoznpodarou">
    <w:name w:val="footnote text"/>
    <w:basedOn w:val="Normln"/>
    <w:link w:val="TextpoznpodarouChar"/>
    <w:uiPriority w:val="99"/>
    <w:semiHidden/>
    <w:unhideWhenUsed/>
    <w:rsid w:val="00381E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1E65"/>
    <w:rPr>
      <w:sz w:val="20"/>
      <w:szCs w:val="20"/>
    </w:rPr>
  </w:style>
  <w:style w:type="character" w:styleId="Znakapoznpodarou">
    <w:name w:val="footnote reference"/>
    <w:basedOn w:val="Standardnpsmoodstavce"/>
    <w:uiPriority w:val="99"/>
    <w:semiHidden/>
    <w:unhideWhenUsed/>
    <w:rsid w:val="00381E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855">
      <w:bodyDiv w:val="1"/>
      <w:marLeft w:val="0"/>
      <w:marRight w:val="0"/>
      <w:marTop w:val="0"/>
      <w:marBottom w:val="0"/>
      <w:divBdr>
        <w:top w:val="none" w:sz="0" w:space="0" w:color="auto"/>
        <w:left w:val="none" w:sz="0" w:space="0" w:color="auto"/>
        <w:bottom w:val="none" w:sz="0" w:space="0" w:color="auto"/>
        <w:right w:val="none" w:sz="0" w:space="0" w:color="auto"/>
      </w:divBdr>
    </w:div>
    <w:div w:id="26640163">
      <w:bodyDiv w:val="1"/>
      <w:marLeft w:val="0"/>
      <w:marRight w:val="0"/>
      <w:marTop w:val="0"/>
      <w:marBottom w:val="0"/>
      <w:divBdr>
        <w:top w:val="none" w:sz="0" w:space="0" w:color="auto"/>
        <w:left w:val="none" w:sz="0" w:space="0" w:color="auto"/>
        <w:bottom w:val="none" w:sz="0" w:space="0" w:color="auto"/>
        <w:right w:val="none" w:sz="0" w:space="0" w:color="auto"/>
      </w:divBdr>
    </w:div>
    <w:div w:id="82142778">
      <w:bodyDiv w:val="1"/>
      <w:marLeft w:val="0"/>
      <w:marRight w:val="0"/>
      <w:marTop w:val="0"/>
      <w:marBottom w:val="0"/>
      <w:divBdr>
        <w:top w:val="none" w:sz="0" w:space="0" w:color="auto"/>
        <w:left w:val="none" w:sz="0" w:space="0" w:color="auto"/>
        <w:bottom w:val="none" w:sz="0" w:space="0" w:color="auto"/>
        <w:right w:val="none" w:sz="0" w:space="0" w:color="auto"/>
      </w:divBdr>
    </w:div>
    <w:div w:id="368340480">
      <w:bodyDiv w:val="1"/>
      <w:marLeft w:val="0"/>
      <w:marRight w:val="0"/>
      <w:marTop w:val="0"/>
      <w:marBottom w:val="0"/>
      <w:divBdr>
        <w:top w:val="none" w:sz="0" w:space="0" w:color="auto"/>
        <w:left w:val="none" w:sz="0" w:space="0" w:color="auto"/>
        <w:bottom w:val="none" w:sz="0" w:space="0" w:color="auto"/>
        <w:right w:val="none" w:sz="0" w:space="0" w:color="auto"/>
      </w:divBdr>
    </w:div>
    <w:div w:id="399792451">
      <w:bodyDiv w:val="1"/>
      <w:marLeft w:val="0"/>
      <w:marRight w:val="0"/>
      <w:marTop w:val="0"/>
      <w:marBottom w:val="0"/>
      <w:divBdr>
        <w:top w:val="none" w:sz="0" w:space="0" w:color="auto"/>
        <w:left w:val="none" w:sz="0" w:space="0" w:color="auto"/>
        <w:bottom w:val="none" w:sz="0" w:space="0" w:color="auto"/>
        <w:right w:val="none" w:sz="0" w:space="0" w:color="auto"/>
      </w:divBdr>
    </w:div>
    <w:div w:id="402610706">
      <w:bodyDiv w:val="1"/>
      <w:marLeft w:val="0"/>
      <w:marRight w:val="0"/>
      <w:marTop w:val="0"/>
      <w:marBottom w:val="0"/>
      <w:divBdr>
        <w:top w:val="none" w:sz="0" w:space="0" w:color="auto"/>
        <w:left w:val="none" w:sz="0" w:space="0" w:color="auto"/>
        <w:bottom w:val="none" w:sz="0" w:space="0" w:color="auto"/>
        <w:right w:val="none" w:sz="0" w:space="0" w:color="auto"/>
      </w:divBdr>
    </w:div>
    <w:div w:id="549658345">
      <w:bodyDiv w:val="1"/>
      <w:marLeft w:val="0"/>
      <w:marRight w:val="0"/>
      <w:marTop w:val="0"/>
      <w:marBottom w:val="0"/>
      <w:divBdr>
        <w:top w:val="none" w:sz="0" w:space="0" w:color="auto"/>
        <w:left w:val="none" w:sz="0" w:space="0" w:color="auto"/>
        <w:bottom w:val="none" w:sz="0" w:space="0" w:color="auto"/>
        <w:right w:val="none" w:sz="0" w:space="0" w:color="auto"/>
      </w:divBdr>
    </w:div>
    <w:div w:id="692877284">
      <w:bodyDiv w:val="1"/>
      <w:marLeft w:val="0"/>
      <w:marRight w:val="0"/>
      <w:marTop w:val="0"/>
      <w:marBottom w:val="0"/>
      <w:divBdr>
        <w:top w:val="none" w:sz="0" w:space="0" w:color="auto"/>
        <w:left w:val="none" w:sz="0" w:space="0" w:color="auto"/>
        <w:bottom w:val="none" w:sz="0" w:space="0" w:color="auto"/>
        <w:right w:val="none" w:sz="0" w:space="0" w:color="auto"/>
      </w:divBdr>
    </w:div>
    <w:div w:id="984623326">
      <w:bodyDiv w:val="1"/>
      <w:marLeft w:val="0"/>
      <w:marRight w:val="0"/>
      <w:marTop w:val="0"/>
      <w:marBottom w:val="0"/>
      <w:divBdr>
        <w:top w:val="none" w:sz="0" w:space="0" w:color="auto"/>
        <w:left w:val="none" w:sz="0" w:space="0" w:color="auto"/>
        <w:bottom w:val="none" w:sz="0" w:space="0" w:color="auto"/>
        <w:right w:val="none" w:sz="0" w:space="0" w:color="auto"/>
      </w:divBdr>
    </w:div>
    <w:div w:id="1028677548">
      <w:bodyDiv w:val="1"/>
      <w:marLeft w:val="0"/>
      <w:marRight w:val="0"/>
      <w:marTop w:val="0"/>
      <w:marBottom w:val="0"/>
      <w:divBdr>
        <w:top w:val="none" w:sz="0" w:space="0" w:color="auto"/>
        <w:left w:val="none" w:sz="0" w:space="0" w:color="auto"/>
        <w:bottom w:val="none" w:sz="0" w:space="0" w:color="auto"/>
        <w:right w:val="none" w:sz="0" w:space="0" w:color="auto"/>
      </w:divBdr>
    </w:div>
    <w:div w:id="1194997379">
      <w:bodyDiv w:val="1"/>
      <w:marLeft w:val="0"/>
      <w:marRight w:val="0"/>
      <w:marTop w:val="0"/>
      <w:marBottom w:val="0"/>
      <w:divBdr>
        <w:top w:val="none" w:sz="0" w:space="0" w:color="auto"/>
        <w:left w:val="none" w:sz="0" w:space="0" w:color="auto"/>
        <w:bottom w:val="none" w:sz="0" w:space="0" w:color="auto"/>
        <w:right w:val="none" w:sz="0" w:space="0" w:color="auto"/>
      </w:divBdr>
    </w:div>
    <w:div w:id="1296450998">
      <w:bodyDiv w:val="1"/>
      <w:marLeft w:val="0"/>
      <w:marRight w:val="0"/>
      <w:marTop w:val="0"/>
      <w:marBottom w:val="0"/>
      <w:divBdr>
        <w:top w:val="none" w:sz="0" w:space="0" w:color="auto"/>
        <w:left w:val="none" w:sz="0" w:space="0" w:color="auto"/>
        <w:bottom w:val="none" w:sz="0" w:space="0" w:color="auto"/>
        <w:right w:val="none" w:sz="0" w:space="0" w:color="auto"/>
      </w:divBdr>
    </w:div>
    <w:div w:id="1588415125">
      <w:bodyDiv w:val="1"/>
      <w:marLeft w:val="0"/>
      <w:marRight w:val="0"/>
      <w:marTop w:val="0"/>
      <w:marBottom w:val="0"/>
      <w:divBdr>
        <w:top w:val="none" w:sz="0" w:space="0" w:color="auto"/>
        <w:left w:val="none" w:sz="0" w:space="0" w:color="auto"/>
        <w:bottom w:val="none" w:sz="0" w:space="0" w:color="auto"/>
        <w:right w:val="none" w:sz="0" w:space="0" w:color="auto"/>
      </w:divBdr>
    </w:div>
    <w:div w:id="1691561526">
      <w:bodyDiv w:val="1"/>
      <w:marLeft w:val="0"/>
      <w:marRight w:val="0"/>
      <w:marTop w:val="0"/>
      <w:marBottom w:val="0"/>
      <w:divBdr>
        <w:top w:val="none" w:sz="0" w:space="0" w:color="auto"/>
        <w:left w:val="none" w:sz="0" w:space="0" w:color="auto"/>
        <w:bottom w:val="none" w:sz="0" w:space="0" w:color="auto"/>
        <w:right w:val="none" w:sz="0" w:space="0" w:color="auto"/>
      </w:divBdr>
    </w:div>
    <w:div w:id="1727798597">
      <w:bodyDiv w:val="1"/>
      <w:marLeft w:val="0"/>
      <w:marRight w:val="0"/>
      <w:marTop w:val="0"/>
      <w:marBottom w:val="0"/>
      <w:divBdr>
        <w:top w:val="none" w:sz="0" w:space="0" w:color="auto"/>
        <w:left w:val="none" w:sz="0" w:space="0" w:color="auto"/>
        <w:bottom w:val="none" w:sz="0" w:space="0" w:color="auto"/>
        <w:right w:val="none" w:sz="0" w:space="0" w:color="auto"/>
      </w:divBdr>
    </w:div>
    <w:div w:id="1765880640">
      <w:bodyDiv w:val="1"/>
      <w:marLeft w:val="0"/>
      <w:marRight w:val="0"/>
      <w:marTop w:val="0"/>
      <w:marBottom w:val="0"/>
      <w:divBdr>
        <w:top w:val="none" w:sz="0" w:space="0" w:color="auto"/>
        <w:left w:val="none" w:sz="0" w:space="0" w:color="auto"/>
        <w:bottom w:val="none" w:sz="0" w:space="0" w:color="auto"/>
        <w:right w:val="none" w:sz="0" w:space="0" w:color="auto"/>
      </w:divBdr>
    </w:div>
    <w:div w:id="201433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drive.google.com/drive/folders/1gDkeWiLU3qJzaTgRJrZ8pGLI6RAL4CKL?usp=sharing"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29" Type="http://schemas.openxmlformats.org/officeDocument/2006/relationships/hyperlink" Target="https://drive.google.com/drive/folders/1Pb9tUOEcdhfonu6zVTjV4m31ie-IyX8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www.cyrrus.cz/" TargetMode="External"/><Relationship Id="rId28" Type="http://schemas.openxmlformats.org/officeDocument/2006/relationships/hyperlink" Target="https://drive.google.com/drive/folders/1MeZo5wihB3CrVaIX8js6pa9IlXG_FjHi?usp=sharing" TargetMode="External"/><Relationship Id="rId10" Type="http://schemas.openxmlformats.org/officeDocument/2006/relationships/chart" Target="charts/chart2.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hyperlink" Target="https://drive.google.com/drive/folders/1vJynKESL_uoi_KOQQVqono-903qtLnsU?usp=sharing" TargetMode="External"/><Relationship Id="rId27" Type="http://schemas.openxmlformats.org/officeDocument/2006/relationships/hyperlink" Target="https://drive.google.com/drive/folders/1P3hMpirSa6iyRyoOgXS0_zrCmPe6vQtG?usp=sharing"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dnes.cz/zpravy/revue/spolecnost/jaroslava-obermaierova-plyn-drahe-energie-sebevrazda.A221124_111315_lidicky_z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hradil\Downloads\CYRRUS-Hlavickovy_papir_2021%20(2).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vit.hradil\Desktop\Publikace\Ad-hoc%20analyzy\Cesko%20chudne\realna%20mzda%20C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it.hradil\Desktop\Publikace\Ad-hoc%20analyzy\Cesko%20chudne\real%20wages%20OEC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it.hradil\Desktop\Publikace\Ad-hoc%20analyzy\Cesko%20chudne\vysledk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vit.hradil\Desktop\Publikace\Ad-hoc%20analyzy\Cesko%20chudne\vysledk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vit.hradil\Desktop\Publikace\Ad-hoc%20analyzy\Cesko%20chudne\vysledk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vit.hradil\Desktop\Publikace\Ad-hoc%20analyzy\Cesko%20chudne\vysledk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vit.hradil\Desktop\Publikace\Ad-hoc%20analyzy\Cesko%20chudne\vysledk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vit.hradil\Desktop\Publikace\Ad-hoc%20analyzy\Cesko%20chudne\vysledk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vit.hradil\Desktop\Publikace\Ad-hoc%20analyzy\Cesko%20chudne\vysledk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rgbClr val="003C72"/>
              </a:solidFill>
              <a:round/>
            </a:ln>
            <a:effectLst/>
          </c:spPr>
          <c:marker>
            <c:symbol val="none"/>
          </c:marker>
          <c:cat>
            <c:numRef>
              <c:f>List1!$I$3:$I$35</c:f>
              <c:numCache>
                <c:formatCode>m/d/yyyy</c:formatCode>
                <c:ptCount val="33"/>
                <c:pt idx="0">
                  <c:v>33238</c:v>
                </c:pt>
                <c:pt idx="1">
                  <c:v>33603</c:v>
                </c:pt>
                <c:pt idx="2">
                  <c:v>33969</c:v>
                </c:pt>
                <c:pt idx="3">
                  <c:v>34334</c:v>
                </c:pt>
                <c:pt idx="4">
                  <c:v>34699</c:v>
                </c:pt>
                <c:pt idx="5">
                  <c:v>35064</c:v>
                </c:pt>
                <c:pt idx="6">
                  <c:v>35430</c:v>
                </c:pt>
                <c:pt idx="7">
                  <c:v>35795</c:v>
                </c:pt>
                <c:pt idx="8">
                  <c:v>36160</c:v>
                </c:pt>
                <c:pt idx="9">
                  <c:v>36525</c:v>
                </c:pt>
                <c:pt idx="10">
                  <c:v>36891</c:v>
                </c:pt>
                <c:pt idx="11">
                  <c:v>37256</c:v>
                </c:pt>
                <c:pt idx="12">
                  <c:v>37621</c:v>
                </c:pt>
                <c:pt idx="13">
                  <c:v>37986</c:v>
                </c:pt>
                <c:pt idx="14">
                  <c:v>38352</c:v>
                </c:pt>
                <c:pt idx="15">
                  <c:v>38717</c:v>
                </c:pt>
                <c:pt idx="16">
                  <c:v>39082</c:v>
                </c:pt>
                <c:pt idx="17">
                  <c:v>39447</c:v>
                </c:pt>
                <c:pt idx="18">
                  <c:v>39813</c:v>
                </c:pt>
                <c:pt idx="19">
                  <c:v>40178</c:v>
                </c:pt>
                <c:pt idx="20">
                  <c:v>40543</c:v>
                </c:pt>
                <c:pt idx="21">
                  <c:v>40908</c:v>
                </c:pt>
                <c:pt idx="22">
                  <c:v>41274</c:v>
                </c:pt>
                <c:pt idx="23">
                  <c:v>41639</c:v>
                </c:pt>
                <c:pt idx="24">
                  <c:v>42004</c:v>
                </c:pt>
                <c:pt idx="25">
                  <c:v>42369</c:v>
                </c:pt>
                <c:pt idx="26">
                  <c:v>42735</c:v>
                </c:pt>
                <c:pt idx="27">
                  <c:v>43100</c:v>
                </c:pt>
                <c:pt idx="28">
                  <c:v>43465</c:v>
                </c:pt>
                <c:pt idx="29">
                  <c:v>43830</c:v>
                </c:pt>
                <c:pt idx="30">
                  <c:v>44196</c:v>
                </c:pt>
                <c:pt idx="31">
                  <c:v>44561</c:v>
                </c:pt>
                <c:pt idx="32">
                  <c:v>44926</c:v>
                </c:pt>
              </c:numCache>
            </c:numRef>
          </c:cat>
          <c:val>
            <c:numRef>
              <c:f>List1!$J$3:$J$35</c:f>
              <c:numCache>
                <c:formatCode>General</c:formatCode>
                <c:ptCount val="33"/>
                <c:pt idx="0">
                  <c:v>-5.5</c:v>
                </c:pt>
                <c:pt idx="1">
                  <c:v>-26.299999999999997</c:v>
                </c:pt>
                <c:pt idx="2">
                  <c:v>10.299999999999997</c:v>
                </c:pt>
                <c:pt idx="3">
                  <c:v>3.7000000000000028</c:v>
                </c:pt>
                <c:pt idx="4">
                  <c:v>7.7999999999999972</c:v>
                </c:pt>
                <c:pt idx="5">
                  <c:v>8.7000000000000028</c:v>
                </c:pt>
                <c:pt idx="6">
                  <c:v>8.7000000000000028</c:v>
                </c:pt>
                <c:pt idx="7">
                  <c:v>1.2999999999999972</c:v>
                </c:pt>
                <c:pt idx="8">
                  <c:v>-1.4000000000000057</c:v>
                </c:pt>
                <c:pt idx="9">
                  <c:v>6.2000000000000028</c:v>
                </c:pt>
                <c:pt idx="10">
                  <c:v>2.2000000000000028</c:v>
                </c:pt>
                <c:pt idx="11">
                  <c:v>3.9000000000000057</c:v>
                </c:pt>
                <c:pt idx="12">
                  <c:v>6.0999999999999943</c:v>
                </c:pt>
                <c:pt idx="13">
                  <c:v>5.7000000000000028</c:v>
                </c:pt>
                <c:pt idx="14">
                  <c:v>3.4000000000000057</c:v>
                </c:pt>
                <c:pt idx="15">
                  <c:v>3</c:v>
                </c:pt>
                <c:pt idx="16">
                  <c:v>4</c:v>
                </c:pt>
                <c:pt idx="17">
                  <c:v>4.2999999999999972</c:v>
                </c:pt>
                <c:pt idx="18">
                  <c:v>1.4000000000000057</c:v>
                </c:pt>
                <c:pt idx="19">
                  <c:v>2.2999999999999972</c:v>
                </c:pt>
                <c:pt idx="20">
                  <c:v>0.70000000000000284</c:v>
                </c:pt>
                <c:pt idx="21">
                  <c:v>0.59999999999999432</c:v>
                </c:pt>
                <c:pt idx="22">
                  <c:v>-0.79999999999999716</c:v>
                </c:pt>
                <c:pt idx="23">
                  <c:v>-1.5</c:v>
                </c:pt>
                <c:pt idx="24">
                  <c:v>2.5</c:v>
                </c:pt>
                <c:pt idx="25">
                  <c:v>2.9000000000000057</c:v>
                </c:pt>
                <c:pt idx="26">
                  <c:v>3.7000000000000028</c:v>
                </c:pt>
                <c:pt idx="27">
                  <c:v>4.2000000000000028</c:v>
                </c:pt>
                <c:pt idx="28">
                  <c:v>5.9000000000000057</c:v>
                </c:pt>
                <c:pt idx="29">
                  <c:v>5</c:v>
                </c:pt>
                <c:pt idx="30">
                  <c:v>1.4000000000000057</c:v>
                </c:pt>
                <c:pt idx="31">
                  <c:v>1</c:v>
                </c:pt>
              </c:numCache>
            </c:numRef>
          </c:val>
          <c:smooth val="0"/>
          <c:extLst>
            <c:ext xmlns:c16="http://schemas.microsoft.com/office/drawing/2014/chart" uri="{C3380CC4-5D6E-409C-BE32-E72D297353CC}">
              <c16:uniqueId val="{00000000-0CF8-487F-9939-F9A7F270268D}"/>
            </c:ext>
          </c:extLst>
        </c:ser>
        <c:ser>
          <c:idx val="1"/>
          <c:order val="1"/>
          <c:spPr>
            <a:ln w="28575" cap="rnd">
              <a:solidFill>
                <a:srgbClr val="EE7219"/>
              </a:solidFill>
              <a:prstDash val="sysDash"/>
              <a:round/>
            </a:ln>
            <a:effectLst/>
          </c:spPr>
          <c:marker>
            <c:symbol val="none"/>
          </c:marker>
          <c:dPt>
            <c:idx val="32"/>
            <c:marker>
              <c:symbol val="none"/>
            </c:marker>
            <c:bubble3D val="0"/>
            <c:spPr>
              <a:ln w="28575" cap="rnd">
                <a:solidFill>
                  <a:srgbClr val="EE7219"/>
                </a:solidFill>
                <a:prstDash val="sysDash"/>
                <a:round/>
              </a:ln>
              <a:effectLst/>
            </c:spPr>
            <c:extLst>
              <c:ext xmlns:c16="http://schemas.microsoft.com/office/drawing/2014/chart" uri="{C3380CC4-5D6E-409C-BE32-E72D297353CC}">
                <c16:uniqueId val="{00000000-B726-4B0E-B2B9-33C91117E494}"/>
              </c:ext>
            </c:extLst>
          </c:dPt>
          <c:cat>
            <c:numRef>
              <c:f>List1!$I$3:$I$35</c:f>
              <c:numCache>
                <c:formatCode>m/d/yyyy</c:formatCode>
                <c:ptCount val="33"/>
                <c:pt idx="0">
                  <c:v>33238</c:v>
                </c:pt>
                <c:pt idx="1">
                  <c:v>33603</c:v>
                </c:pt>
                <c:pt idx="2">
                  <c:v>33969</c:v>
                </c:pt>
                <c:pt idx="3">
                  <c:v>34334</c:v>
                </c:pt>
                <c:pt idx="4">
                  <c:v>34699</c:v>
                </c:pt>
                <c:pt idx="5">
                  <c:v>35064</c:v>
                </c:pt>
                <c:pt idx="6">
                  <c:v>35430</c:v>
                </c:pt>
                <c:pt idx="7">
                  <c:v>35795</c:v>
                </c:pt>
                <c:pt idx="8">
                  <c:v>36160</c:v>
                </c:pt>
                <c:pt idx="9">
                  <c:v>36525</c:v>
                </c:pt>
                <c:pt idx="10">
                  <c:v>36891</c:v>
                </c:pt>
                <c:pt idx="11">
                  <c:v>37256</c:v>
                </c:pt>
                <c:pt idx="12">
                  <c:v>37621</c:v>
                </c:pt>
                <c:pt idx="13">
                  <c:v>37986</c:v>
                </c:pt>
                <c:pt idx="14">
                  <c:v>38352</c:v>
                </c:pt>
                <c:pt idx="15">
                  <c:v>38717</c:v>
                </c:pt>
                <c:pt idx="16">
                  <c:v>39082</c:v>
                </c:pt>
                <c:pt idx="17">
                  <c:v>39447</c:v>
                </c:pt>
                <c:pt idx="18">
                  <c:v>39813</c:v>
                </c:pt>
                <c:pt idx="19">
                  <c:v>40178</c:v>
                </c:pt>
                <c:pt idx="20">
                  <c:v>40543</c:v>
                </c:pt>
                <c:pt idx="21">
                  <c:v>40908</c:v>
                </c:pt>
                <c:pt idx="22">
                  <c:v>41274</c:v>
                </c:pt>
                <c:pt idx="23">
                  <c:v>41639</c:v>
                </c:pt>
                <c:pt idx="24">
                  <c:v>42004</c:v>
                </c:pt>
                <c:pt idx="25">
                  <c:v>42369</c:v>
                </c:pt>
                <c:pt idx="26">
                  <c:v>42735</c:v>
                </c:pt>
                <c:pt idx="27">
                  <c:v>43100</c:v>
                </c:pt>
                <c:pt idx="28">
                  <c:v>43465</c:v>
                </c:pt>
                <c:pt idx="29">
                  <c:v>43830</c:v>
                </c:pt>
                <c:pt idx="30">
                  <c:v>44196</c:v>
                </c:pt>
                <c:pt idx="31">
                  <c:v>44561</c:v>
                </c:pt>
                <c:pt idx="32">
                  <c:v>44926</c:v>
                </c:pt>
              </c:numCache>
            </c:numRef>
          </c:cat>
          <c:val>
            <c:numRef>
              <c:f>List1!$K$3:$K$35</c:f>
              <c:numCache>
                <c:formatCode>General</c:formatCode>
                <c:ptCount val="33"/>
                <c:pt idx="31">
                  <c:v>1</c:v>
                </c:pt>
                <c:pt idx="32">
                  <c:v>-8.3000000000000007</c:v>
                </c:pt>
              </c:numCache>
            </c:numRef>
          </c:val>
          <c:smooth val="0"/>
          <c:extLst>
            <c:ext xmlns:c16="http://schemas.microsoft.com/office/drawing/2014/chart" uri="{C3380CC4-5D6E-409C-BE32-E72D297353CC}">
              <c16:uniqueId val="{00000001-0CF8-487F-9939-F9A7F270268D}"/>
            </c:ext>
          </c:extLst>
        </c:ser>
        <c:dLbls>
          <c:showLegendKey val="0"/>
          <c:showVal val="0"/>
          <c:showCatName val="0"/>
          <c:showSerName val="0"/>
          <c:showPercent val="0"/>
          <c:showBubbleSize val="0"/>
        </c:dLbls>
        <c:smooth val="0"/>
        <c:axId val="1046160304"/>
        <c:axId val="1046160720"/>
      </c:lineChart>
      <c:dateAx>
        <c:axId val="1046160304"/>
        <c:scaling>
          <c:orientation val="minMax"/>
        </c:scaling>
        <c:delete val="0"/>
        <c:axPos val="b"/>
        <c:numFmt formatCode="yyyy" sourceLinked="0"/>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cs-CZ"/>
          </a:p>
        </c:txPr>
        <c:crossAx val="1046160720"/>
        <c:crosses val="autoZero"/>
        <c:auto val="1"/>
        <c:lblOffset val="100"/>
        <c:baseTimeUnit val="years"/>
      </c:dateAx>
      <c:valAx>
        <c:axId val="1046160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cs-CZ"/>
          </a:p>
        </c:txPr>
        <c:crossAx val="10461603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600"/>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3C72"/>
            </a:solidFill>
            <a:ln>
              <a:noFill/>
            </a:ln>
            <a:effectLst/>
          </c:spPr>
          <c:invertIfNegative val="0"/>
          <c:dPt>
            <c:idx val="31"/>
            <c:invertIfNegative val="0"/>
            <c:bubble3D val="0"/>
            <c:spPr>
              <a:solidFill>
                <a:srgbClr val="EE7219"/>
              </a:solidFill>
              <a:ln>
                <a:noFill/>
              </a:ln>
              <a:effectLst/>
            </c:spPr>
            <c:extLst>
              <c:ext xmlns:c16="http://schemas.microsoft.com/office/drawing/2014/chart" uri="{C3380CC4-5D6E-409C-BE32-E72D297353CC}">
                <c16:uniqueId val="{00000000-183D-4D28-B907-4879A71D7142}"/>
              </c:ext>
            </c:extLst>
          </c:dPt>
          <c:cat>
            <c:strRef>
              <c:f>Statlink!$A$10:$A$41</c:f>
              <c:strCache>
                <c:ptCount val="32"/>
                <c:pt idx="0">
                  <c:v>Maďarsko</c:v>
                </c:pt>
                <c:pt idx="1">
                  <c:v>Švýcarsko</c:v>
                </c:pt>
                <c:pt idx="2">
                  <c:v>Belgie</c:v>
                </c:pt>
                <c:pt idx="3">
                  <c:v>Norsko</c:v>
                </c:pt>
                <c:pt idx="4">
                  <c:v>Francie</c:v>
                </c:pt>
                <c:pt idx="5">
                  <c:v>Nový Zéland</c:v>
                </c:pt>
                <c:pt idx="6">
                  <c:v>Kanada</c:v>
                </c:pt>
                <c:pt idx="7">
                  <c:v>Polsko</c:v>
                </c:pt>
                <c:pt idx="8">
                  <c:v>Japonsko</c:v>
                </c:pt>
                <c:pt idx="9">
                  <c:v>Austrálie</c:v>
                </c:pt>
                <c:pt idx="10">
                  <c:v>Korea</c:v>
                </c:pt>
                <c:pt idx="11">
                  <c:v>Irsko</c:v>
                </c:pt>
                <c:pt idx="12">
                  <c:v>USA</c:v>
                </c:pt>
                <c:pt idx="13">
                  <c:v>Spojené království</c:v>
                </c:pt>
                <c:pt idx="14">
                  <c:v>Itálie</c:v>
                </c:pt>
                <c:pt idx="15">
                  <c:v>Portugalsko</c:v>
                </c:pt>
                <c:pt idx="16">
                  <c:v>Finsko</c:v>
                </c:pt>
                <c:pt idx="17">
                  <c:v>Dánsko</c:v>
                </c:pt>
                <c:pt idx="18">
                  <c:v>Lotyšsko</c:v>
                </c:pt>
                <c:pt idx="19">
                  <c:v>Izrael</c:v>
                </c:pt>
                <c:pt idx="20">
                  <c:v>Nizozemí</c:v>
                </c:pt>
                <c:pt idx="21">
                  <c:v>Rakousko</c:v>
                </c:pt>
                <c:pt idx="22">
                  <c:v>Švédsko</c:v>
                </c:pt>
                <c:pt idx="23">
                  <c:v>Řecko</c:v>
                </c:pt>
                <c:pt idx="24">
                  <c:v>Německo</c:v>
                </c:pt>
                <c:pt idx="25">
                  <c:v>Španělsko</c:v>
                </c:pt>
                <c:pt idx="26">
                  <c:v>Slovensko</c:v>
                </c:pt>
                <c:pt idx="27">
                  <c:v>Litva</c:v>
                </c:pt>
                <c:pt idx="28">
                  <c:v>Mexiko</c:v>
                </c:pt>
                <c:pt idx="29">
                  <c:v>Estonsko</c:v>
                </c:pt>
                <c:pt idx="30">
                  <c:v>Slovinsko</c:v>
                </c:pt>
                <c:pt idx="31">
                  <c:v>Česko</c:v>
                </c:pt>
              </c:strCache>
            </c:strRef>
          </c:cat>
          <c:val>
            <c:numRef>
              <c:f>Statlink!$B$10:$B$41</c:f>
              <c:numCache>
                <c:formatCode>General</c:formatCode>
                <c:ptCount val="32"/>
                <c:pt idx="0">
                  <c:v>2.5477483533064227</c:v>
                </c:pt>
                <c:pt idx="1">
                  <c:v>-2.3045560134993259E-2</c:v>
                </c:pt>
                <c:pt idx="2">
                  <c:v>-0.60570415153602397</c:v>
                </c:pt>
                <c:pt idx="3">
                  <c:v>-0.63930837128578499</c:v>
                </c:pt>
                <c:pt idx="4">
                  <c:v>-0.7683600032921345</c:v>
                </c:pt>
                <c:pt idx="5">
                  <c:v>-1.0335319997538672</c:v>
                </c:pt>
                <c:pt idx="6">
                  <c:v>-1.2481471127034127</c:v>
                </c:pt>
                <c:pt idx="7">
                  <c:v>-1.4692153791322382</c:v>
                </c:pt>
                <c:pt idx="8">
                  <c:v>-1.5495596417514967</c:v>
                </c:pt>
                <c:pt idx="9">
                  <c:v>-1.6493100572431585</c:v>
                </c:pt>
                <c:pt idx="10">
                  <c:v>-1.8830930683768732</c:v>
                </c:pt>
                <c:pt idx="11">
                  <c:v>-2.0028175379167901</c:v>
                </c:pt>
                <c:pt idx="12">
                  <c:v>-2.2230962811678801</c:v>
                </c:pt>
                <c:pt idx="13">
                  <c:v>-2.6544187879568248</c:v>
                </c:pt>
                <c:pt idx="14">
                  <c:v>-2.7542627026639344</c:v>
                </c:pt>
                <c:pt idx="15">
                  <c:v>-2.8172120134882683</c:v>
                </c:pt>
                <c:pt idx="16">
                  <c:v>-3.0606783277959959</c:v>
                </c:pt>
                <c:pt idx="17">
                  <c:v>-3.0875006630294632</c:v>
                </c:pt>
                <c:pt idx="18">
                  <c:v>-3.2047577062169985</c:v>
                </c:pt>
                <c:pt idx="19">
                  <c:v>-3.2311043890873692</c:v>
                </c:pt>
                <c:pt idx="20">
                  <c:v>-3.3584706284413568</c:v>
                </c:pt>
                <c:pt idx="21">
                  <c:v>-3.8385629574166247</c:v>
                </c:pt>
                <c:pt idx="22">
                  <c:v>-3.8996621472365045</c:v>
                </c:pt>
                <c:pt idx="23">
                  <c:v>-4.2337821576776342</c:v>
                </c:pt>
                <c:pt idx="24">
                  <c:v>-4.3498829718656928</c:v>
                </c:pt>
                <c:pt idx="25">
                  <c:v>-5.3831796613660892</c:v>
                </c:pt>
                <c:pt idx="26">
                  <c:v>-6.1234423210221873</c:v>
                </c:pt>
                <c:pt idx="27">
                  <c:v>-7.4922419567493233</c:v>
                </c:pt>
                <c:pt idx="28">
                  <c:v>-8.002505668576509</c:v>
                </c:pt>
                <c:pt idx="29">
                  <c:v>-8.0387830311607456</c:v>
                </c:pt>
                <c:pt idx="30">
                  <c:v>-8.5735214977717291</c:v>
                </c:pt>
                <c:pt idx="31">
                  <c:v>-8.9408612773607228</c:v>
                </c:pt>
              </c:numCache>
            </c:numRef>
          </c:val>
          <c:extLst>
            <c:ext xmlns:c16="http://schemas.microsoft.com/office/drawing/2014/chart" uri="{C3380CC4-5D6E-409C-BE32-E72D297353CC}">
              <c16:uniqueId val="{00000000-D8A6-407C-BF7E-FF7EFDE60A45}"/>
            </c:ext>
          </c:extLst>
        </c:ser>
        <c:dLbls>
          <c:showLegendKey val="0"/>
          <c:showVal val="0"/>
          <c:showCatName val="0"/>
          <c:showSerName val="0"/>
          <c:showPercent val="0"/>
          <c:showBubbleSize val="0"/>
        </c:dLbls>
        <c:gapWidth val="219"/>
        <c:overlap val="-27"/>
        <c:axId val="1703174944"/>
        <c:axId val="1703174112"/>
      </c:barChart>
      <c:catAx>
        <c:axId val="17031749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500" b="0" i="0" u="none" strike="noStrike" kern="1200" baseline="0">
                <a:solidFill>
                  <a:schemeClr val="tx1">
                    <a:lumMod val="65000"/>
                    <a:lumOff val="35000"/>
                  </a:schemeClr>
                </a:solidFill>
                <a:latin typeface="+mn-lt"/>
                <a:ea typeface="+mn-ea"/>
                <a:cs typeface="+mn-cs"/>
              </a:defRPr>
            </a:pPr>
            <a:endParaRPr lang="cs-CZ"/>
          </a:p>
        </c:txPr>
        <c:crossAx val="1703174112"/>
        <c:crosses val="autoZero"/>
        <c:auto val="1"/>
        <c:lblAlgn val="ctr"/>
        <c:lblOffset val="100"/>
        <c:noMultiLvlLbl val="0"/>
      </c:catAx>
      <c:valAx>
        <c:axId val="170317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cs-CZ"/>
          </a:p>
        </c:txPr>
        <c:crossAx val="17031749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600"/>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kradeze!$B$1</c:f>
              <c:strCache>
                <c:ptCount val="1"/>
                <c:pt idx="0">
                  <c:v>data</c:v>
                </c:pt>
              </c:strCache>
            </c:strRef>
          </c:tx>
          <c:spPr>
            <a:solidFill>
              <a:srgbClr val="EE7219"/>
            </a:solidFill>
            <a:ln>
              <a:noFill/>
            </a:ln>
            <a:effectLst/>
          </c:spPr>
          <c:invertIfNegative val="0"/>
          <c:cat>
            <c:numRef>
              <c:f>kradeze!$A$2:$A$4</c:f>
              <c:numCache>
                <c:formatCode>General</c:formatCode>
                <c:ptCount val="3"/>
                <c:pt idx="0">
                  <c:v>2022</c:v>
                </c:pt>
                <c:pt idx="1">
                  <c:v>2023</c:v>
                </c:pt>
                <c:pt idx="2">
                  <c:v>2024</c:v>
                </c:pt>
              </c:numCache>
            </c:numRef>
          </c:cat>
          <c:val>
            <c:numRef>
              <c:f>kradeze!$B$2:$B$4</c:f>
              <c:numCache>
                <c:formatCode>General</c:formatCode>
                <c:ptCount val="3"/>
                <c:pt idx="0">
                  <c:v>36.1</c:v>
                </c:pt>
                <c:pt idx="1">
                  <c:v>30.8</c:v>
                </c:pt>
                <c:pt idx="2">
                  <c:v>2.5</c:v>
                </c:pt>
              </c:numCache>
            </c:numRef>
          </c:val>
          <c:extLst>
            <c:ext xmlns:c16="http://schemas.microsoft.com/office/drawing/2014/chart" uri="{C3380CC4-5D6E-409C-BE32-E72D297353CC}">
              <c16:uniqueId val="{00000000-1924-475D-A316-AA68AF9AFF33}"/>
            </c:ext>
          </c:extLst>
        </c:ser>
        <c:dLbls>
          <c:showLegendKey val="0"/>
          <c:showVal val="0"/>
          <c:showCatName val="0"/>
          <c:showSerName val="0"/>
          <c:showPercent val="0"/>
          <c:showBubbleSize val="0"/>
        </c:dLbls>
        <c:gapWidth val="219"/>
        <c:overlap val="-27"/>
        <c:axId val="1116835168"/>
        <c:axId val="1116836832"/>
      </c:barChart>
      <c:catAx>
        <c:axId val="111683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cs-CZ"/>
          </a:p>
        </c:txPr>
        <c:crossAx val="1116836832"/>
        <c:crosses val="autoZero"/>
        <c:auto val="1"/>
        <c:lblAlgn val="ctr"/>
        <c:lblOffset val="100"/>
        <c:noMultiLvlLbl val="0"/>
      </c:catAx>
      <c:valAx>
        <c:axId val="111683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cs-CZ"/>
          </a:p>
        </c:txPr>
        <c:crossAx val="11168351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600"/>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alkohol!$B$1</c:f>
              <c:strCache>
                <c:ptCount val="1"/>
                <c:pt idx="0">
                  <c:v>data</c:v>
                </c:pt>
              </c:strCache>
            </c:strRef>
          </c:tx>
          <c:spPr>
            <a:solidFill>
              <a:srgbClr val="EE7219"/>
            </a:solidFill>
            <a:ln>
              <a:noFill/>
            </a:ln>
            <a:effectLst/>
          </c:spPr>
          <c:invertIfNegative val="0"/>
          <c:cat>
            <c:numRef>
              <c:f>alkohol!$A$2:$A$4</c:f>
              <c:numCache>
                <c:formatCode>General</c:formatCode>
                <c:ptCount val="3"/>
                <c:pt idx="0">
                  <c:v>2022</c:v>
                </c:pt>
                <c:pt idx="1">
                  <c:v>2023</c:v>
                </c:pt>
                <c:pt idx="2">
                  <c:v>2024</c:v>
                </c:pt>
              </c:numCache>
            </c:numRef>
          </c:cat>
          <c:val>
            <c:numRef>
              <c:f>alkohol!$B$2:$B$4</c:f>
              <c:numCache>
                <c:formatCode>General</c:formatCode>
                <c:ptCount val="3"/>
                <c:pt idx="0">
                  <c:v>0.4</c:v>
                </c:pt>
                <c:pt idx="1">
                  <c:v>-0.1</c:v>
                </c:pt>
                <c:pt idx="2">
                  <c:v>0.05</c:v>
                </c:pt>
              </c:numCache>
            </c:numRef>
          </c:val>
          <c:extLst>
            <c:ext xmlns:c16="http://schemas.microsoft.com/office/drawing/2014/chart" uri="{C3380CC4-5D6E-409C-BE32-E72D297353CC}">
              <c16:uniqueId val="{00000000-C5B5-4A50-A6AB-6F93D7C2F833}"/>
            </c:ext>
          </c:extLst>
        </c:ser>
        <c:dLbls>
          <c:showLegendKey val="0"/>
          <c:showVal val="0"/>
          <c:showCatName val="0"/>
          <c:showSerName val="0"/>
          <c:showPercent val="0"/>
          <c:showBubbleSize val="0"/>
        </c:dLbls>
        <c:gapWidth val="219"/>
        <c:overlap val="-27"/>
        <c:axId val="1046164048"/>
        <c:axId val="1046160304"/>
      </c:barChart>
      <c:catAx>
        <c:axId val="10461640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cs-CZ"/>
          </a:p>
        </c:txPr>
        <c:crossAx val="1046160304"/>
        <c:crosses val="autoZero"/>
        <c:auto val="1"/>
        <c:lblAlgn val="ctr"/>
        <c:lblOffset val="100"/>
        <c:noMultiLvlLbl val="0"/>
      </c:catAx>
      <c:valAx>
        <c:axId val="104616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cs-CZ"/>
          </a:p>
        </c:txPr>
        <c:crossAx val="10461640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600"/>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rozvody!$B$1</c:f>
              <c:strCache>
                <c:ptCount val="1"/>
                <c:pt idx="0">
                  <c:v>data</c:v>
                </c:pt>
              </c:strCache>
            </c:strRef>
          </c:tx>
          <c:spPr>
            <a:solidFill>
              <a:srgbClr val="EE7219"/>
            </a:solidFill>
            <a:ln>
              <a:noFill/>
            </a:ln>
            <a:effectLst/>
          </c:spPr>
          <c:invertIfNegative val="0"/>
          <c:cat>
            <c:numRef>
              <c:f>rozvody!$A$2:$A$4</c:f>
              <c:numCache>
                <c:formatCode>General</c:formatCode>
                <c:ptCount val="3"/>
                <c:pt idx="0">
                  <c:v>2022</c:v>
                </c:pt>
                <c:pt idx="1">
                  <c:v>2023</c:v>
                </c:pt>
                <c:pt idx="2">
                  <c:v>2024</c:v>
                </c:pt>
              </c:numCache>
            </c:numRef>
          </c:cat>
          <c:val>
            <c:numRef>
              <c:f>rozvody!$B$2:$B$4</c:f>
              <c:numCache>
                <c:formatCode>General</c:formatCode>
                <c:ptCount val="3"/>
                <c:pt idx="0">
                  <c:v>-0.2</c:v>
                </c:pt>
                <c:pt idx="1">
                  <c:v>0.5</c:v>
                </c:pt>
                <c:pt idx="2">
                  <c:v>-0.1</c:v>
                </c:pt>
              </c:numCache>
            </c:numRef>
          </c:val>
          <c:extLst>
            <c:ext xmlns:c16="http://schemas.microsoft.com/office/drawing/2014/chart" uri="{C3380CC4-5D6E-409C-BE32-E72D297353CC}">
              <c16:uniqueId val="{00000000-363C-466D-BD83-7C328C55F2B1}"/>
            </c:ext>
          </c:extLst>
        </c:ser>
        <c:dLbls>
          <c:showLegendKey val="0"/>
          <c:showVal val="0"/>
          <c:showCatName val="0"/>
          <c:showSerName val="0"/>
          <c:showPercent val="0"/>
          <c:showBubbleSize val="0"/>
        </c:dLbls>
        <c:gapWidth val="219"/>
        <c:overlap val="-27"/>
        <c:axId val="1116834336"/>
        <c:axId val="1041910256"/>
      </c:barChart>
      <c:catAx>
        <c:axId val="111683433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cs-CZ"/>
          </a:p>
        </c:txPr>
        <c:crossAx val="1041910256"/>
        <c:crosses val="autoZero"/>
        <c:auto val="1"/>
        <c:lblAlgn val="ctr"/>
        <c:lblOffset val="100"/>
        <c:noMultiLvlLbl val="0"/>
      </c:catAx>
      <c:valAx>
        <c:axId val="1041910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cs-CZ"/>
          </a:p>
        </c:txPr>
        <c:crossAx val="11168343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600"/>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'zdravotni stav'!$B$1</c:f>
              <c:strCache>
                <c:ptCount val="1"/>
                <c:pt idx="0">
                  <c:v>data</c:v>
                </c:pt>
              </c:strCache>
            </c:strRef>
          </c:tx>
          <c:spPr>
            <a:solidFill>
              <a:schemeClr val="accent1"/>
            </a:solidFill>
            <a:ln>
              <a:noFill/>
            </a:ln>
            <a:effectLst/>
          </c:spPr>
          <c:invertIfNegative val="0"/>
          <c:cat>
            <c:numRef>
              <c:f>'zdravotni stav'!$A$2:$A$4</c:f>
              <c:numCache>
                <c:formatCode>General</c:formatCode>
                <c:ptCount val="3"/>
                <c:pt idx="0">
                  <c:v>2022</c:v>
                </c:pt>
                <c:pt idx="1">
                  <c:v>2023</c:v>
                </c:pt>
                <c:pt idx="2">
                  <c:v>2024</c:v>
                </c:pt>
              </c:numCache>
            </c:numRef>
          </c:cat>
          <c:val>
            <c:numRef>
              <c:f>'zdravotni stav'!$B$2:$B$4</c:f>
              <c:numCache>
                <c:formatCode>General</c:formatCode>
                <c:ptCount val="3"/>
                <c:pt idx="0">
                  <c:v>-3.2</c:v>
                </c:pt>
                <c:pt idx="1">
                  <c:v>-3.6</c:v>
                </c:pt>
                <c:pt idx="2">
                  <c:v>-1</c:v>
                </c:pt>
              </c:numCache>
            </c:numRef>
          </c:val>
          <c:extLst>
            <c:ext xmlns:c16="http://schemas.microsoft.com/office/drawing/2014/chart" uri="{C3380CC4-5D6E-409C-BE32-E72D297353CC}">
              <c16:uniqueId val="{00000000-998E-4362-9A14-68DE7A2410CF}"/>
            </c:ext>
          </c:extLst>
        </c:ser>
        <c:dLbls>
          <c:showLegendKey val="0"/>
          <c:showVal val="0"/>
          <c:showCatName val="0"/>
          <c:showSerName val="0"/>
          <c:showPercent val="0"/>
          <c:showBubbleSize val="0"/>
        </c:dLbls>
        <c:gapWidth val="219"/>
        <c:overlap val="-27"/>
        <c:axId val="929639616"/>
        <c:axId val="1043338752"/>
      </c:barChart>
      <c:catAx>
        <c:axId val="92963961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cs-CZ"/>
          </a:p>
        </c:txPr>
        <c:crossAx val="1043338752"/>
        <c:crosses val="autoZero"/>
        <c:auto val="1"/>
        <c:lblAlgn val="ctr"/>
        <c:lblOffset val="100"/>
        <c:noMultiLvlLbl val="0"/>
      </c:catAx>
      <c:valAx>
        <c:axId val="1043338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cs-CZ"/>
          </a:p>
        </c:txPr>
        <c:crossAx val="9296396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600"/>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sebevrazdy!$B$1</c:f>
              <c:strCache>
                <c:ptCount val="1"/>
                <c:pt idx="0">
                  <c:v>data</c:v>
                </c:pt>
              </c:strCache>
            </c:strRef>
          </c:tx>
          <c:spPr>
            <a:solidFill>
              <a:srgbClr val="EE7219"/>
            </a:solidFill>
            <a:ln>
              <a:noFill/>
            </a:ln>
            <a:effectLst/>
          </c:spPr>
          <c:invertIfNegative val="0"/>
          <c:cat>
            <c:numRef>
              <c:f>sebevrazdy!$A$2:$A$4</c:f>
              <c:numCache>
                <c:formatCode>General</c:formatCode>
                <c:ptCount val="3"/>
                <c:pt idx="0">
                  <c:v>2022</c:v>
                </c:pt>
                <c:pt idx="1">
                  <c:v>2023</c:v>
                </c:pt>
                <c:pt idx="2">
                  <c:v>2024</c:v>
                </c:pt>
              </c:numCache>
            </c:numRef>
          </c:cat>
          <c:val>
            <c:numRef>
              <c:f>sebevrazdy!$B$2:$B$4</c:f>
              <c:numCache>
                <c:formatCode>General</c:formatCode>
                <c:ptCount val="3"/>
                <c:pt idx="0">
                  <c:v>0.3</c:v>
                </c:pt>
                <c:pt idx="1">
                  <c:v>0.5</c:v>
                </c:pt>
                <c:pt idx="2">
                  <c:v>-0.2</c:v>
                </c:pt>
              </c:numCache>
            </c:numRef>
          </c:val>
          <c:extLst>
            <c:ext xmlns:c16="http://schemas.microsoft.com/office/drawing/2014/chart" uri="{C3380CC4-5D6E-409C-BE32-E72D297353CC}">
              <c16:uniqueId val="{00000000-DE35-4620-9C5E-FB0961A4EE3B}"/>
            </c:ext>
          </c:extLst>
        </c:ser>
        <c:dLbls>
          <c:showLegendKey val="0"/>
          <c:showVal val="0"/>
          <c:showCatName val="0"/>
          <c:showSerName val="0"/>
          <c:showPercent val="0"/>
          <c:showBubbleSize val="0"/>
        </c:dLbls>
        <c:gapWidth val="219"/>
        <c:overlap val="-27"/>
        <c:axId val="1114884368"/>
        <c:axId val="1114885616"/>
      </c:barChart>
      <c:catAx>
        <c:axId val="111488436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cs-CZ"/>
          </a:p>
        </c:txPr>
        <c:crossAx val="1114885616"/>
        <c:crosses val="autoZero"/>
        <c:auto val="1"/>
        <c:lblAlgn val="ctr"/>
        <c:lblOffset val="100"/>
        <c:noMultiLvlLbl val="0"/>
      </c:catAx>
      <c:valAx>
        <c:axId val="1114885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cs-CZ"/>
          </a:p>
        </c:txPr>
        <c:crossAx val="11148843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600"/>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'mladistvi mimo skolu'!$B$1</c:f>
              <c:strCache>
                <c:ptCount val="1"/>
                <c:pt idx="0">
                  <c:v>data</c:v>
                </c:pt>
              </c:strCache>
            </c:strRef>
          </c:tx>
          <c:spPr>
            <a:solidFill>
              <a:srgbClr val="EE7219"/>
            </a:solidFill>
            <a:ln>
              <a:noFill/>
            </a:ln>
            <a:effectLst/>
          </c:spPr>
          <c:invertIfNegative val="0"/>
          <c:cat>
            <c:numRef>
              <c:f>'mladistvi mimo skolu'!$A$2:$A$4</c:f>
              <c:numCache>
                <c:formatCode>General</c:formatCode>
                <c:ptCount val="3"/>
                <c:pt idx="0">
                  <c:v>2022</c:v>
                </c:pt>
                <c:pt idx="1">
                  <c:v>2023</c:v>
                </c:pt>
                <c:pt idx="2">
                  <c:v>2024</c:v>
                </c:pt>
              </c:numCache>
            </c:numRef>
          </c:cat>
          <c:val>
            <c:numRef>
              <c:f>'mladistvi mimo skolu'!$B$2:$B$4</c:f>
              <c:numCache>
                <c:formatCode>General</c:formatCode>
                <c:ptCount val="3"/>
                <c:pt idx="0">
                  <c:v>1.6</c:v>
                </c:pt>
                <c:pt idx="1">
                  <c:v>1.2</c:v>
                </c:pt>
                <c:pt idx="2">
                  <c:v>0.6</c:v>
                </c:pt>
              </c:numCache>
            </c:numRef>
          </c:val>
          <c:extLst>
            <c:ext xmlns:c16="http://schemas.microsoft.com/office/drawing/2014/chart" uri="{C3380CC4-5D6E-409C-BE32-E72D297353CC}">
              <c16:uniqueId val="{00000000-8EE5-45FF-B7BD-401513085551}"/>
            </c:ext>
          </c:extLst>
        </c:ser>
        <c:dLbls>
          <c:showLegendKey val="0"/>
          <c:showVal val="0"/>
          <c:showCatName val="0"/>
          <c:showSerName val="0"/>
          <c:showPercent val="0"/>
          <c:showBubbleSize val="0"/>
        </c:dLbls>
        <c:gapWidth val="219"/>
        <c:overlap val="-27"/>
        <c:axId val="929642944"/>
        <c:axId val="929640864"/>
      </c:barChart>
      <c:catAx>
        <c:axId val="9296429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cs-CZ"/>
          </a:p>
        </c:txPr>
        <c:crossAx val="929640864"/>
        <c:crosses val="autoZero"/>
        <c:auto val="1"/>
        <c:lblAlgn val="ctr"/>
        <c:lblOffset val="100"/>
        <c:noMultiLvlLbl val="0"/>
      </c:catAx>
      <c:valAx>
        <c:axId val="929640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cs-CZ"/>
          </a:p>
        </c:txPr>
        <c:crossAx val="9296429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600"/>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'duvera ve vladu'!$B$1</c:f>
              <c:strCache>
                <c:ptCount val="1"/>
                <c:pt idx="0">
                  <c:v>data</c:v>
                </c:pt>
              </c:strCache>
            </c:strRef>
          </c:tx>
          <c:spPr>
            <a:solidFill>
              <a:srgbClr val="EE7219"/>
            </a:solidFill>
            <a:ln>
              <a:noFill/>
            </a:ln>
            <a:effectLst/>
          </c:spPr>
          <c:invertIfNegative val="0"/>
          <c:cat>
            <c:numRef>
              <c:f>'duvera ve vladu'!$A$2:$A$4</c:f>
              <c:numCache>
                <c:formatCode>General</c:formatCode>
                <c:ptCount val="3"/>
                <c:pt idx="0">
                  <c:v>2022</c:v>
                </c:pt>
                <c:pt idx="1">
                  <c:v>2023</c:v>
                </c:pt>
                <c:pt idx="2">
                  <c:v>2024</c:v>
                </c:pt>
              </c:numCache>
            </c:numRef>
          </c:cat>
          <c:val>
            <c:numRef>
              <c:f>'duvera ve vladu'!$B$2:$B$4</c:f>
              <c:numCache>
                <c:formatCode>General</c:formatCode>
                <c:ptCount val="3"/>
                <c:pt idx="0">
                  <c:v>-12.4</c:v>
                </c:pt>
                <c:pt idx="1">
                  <c:v>-8.3000000000000007</c:v>
                </c:pt>
                <c:pt idx="2">
                  <c:v>-0.1</c:v>
                </c:pt>
              </c:numCache>
            </c:numRef>
          </c:val>
          <c:extLst>
            <c:ext xmlns:c16="http://schemas.microsoft.com/office/drawing/2014/chart" uri="{C3380CC4-5D6E-409C-BE32-E72D297353CC}">
              <c16:uniqueId val="{00000000-C62D-4D0F-9828-1CC6E09D9904}"/>
            </c:ext>
          </c:extLst>
        </c:ser>
        <c:dLbls>
          <c:showLegendKey val="0"/>
          <c:showVal val="0"/>
          <c:showCatName val="0"/>
          <c:showSerName val="0"/>
          <c:showPercent val="0"/>
          <c:showBubbleSize val="0"/>
        </c:dLbls>
        <c:gapWidth val="219"/>
        <c:overlap val="-27"/>
        <c:axId val="1035764224"/>
        <c:axId val="1035763392"/>
      </c:barChart>
      <c:catAx>
        <c:axId val="103576422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cs-CZ"/>
          </a:p>
        </c:txPr>
        <c:crossAx val="1035763392"/>
        <c:crosses val="autoZero"/>
        <c:auto val="1"/>
        <c:lblAlgn val="ctr"/>
        <c:lblOffset val="100"/>
        <c:noMultiLvlLbl val="0"/>
      </c:catAx>
      <c:valAx>
        <c:axId val="1035763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cs-CZ"/>
          </a:p>
        </c:txPr>
        <c:crossAx val="10357642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600"/>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CYRRUS 2021">
      <a:dk1>
        <a:srgbClr val="000000"/>
      </a:dk1>
      <a:lt1>
        <a:sysClr val="window" lastClr="FFFFFF"/>
      </a:lt1>
      <a:dk2>
        <a:srgbClr val="F47929"/>
      </a:dk2>
      <a:lt2>
        <a:srgbClr val="FFC832"/>
      </a:lt2>
      <a:accent1>
        <a:srgbClr val="F47929"/>
      </a:accent1>
      <a:accent2>
        <a:srgbClr val="FFC832"/>
      </a:accent2>
      <a:accent3>
        <a:srgbClr val="036531"/>
      </a:accent3>
      <a:accent4>
        <a:srgbClr val="AF251A"/>
      </a:accent4>
      <a:accent5>
        <a:srgbClr val="B78A17"/>
      </a:accent5>
      <a:accent6>
        <a:srgbClr val="917F5F"/>
      </a:accent6>
      <a:hlink>
        <a:srgbClr val="003C73"/>
      </a:hlink>
      <a:folHlink>
        <a:srgbClr val="00284E"/>
      </a:folHlink>
    </a:clrScheme>
    <a:fontScheme name="CYRRUS 2021">
      <a:majorFont>
        <a:latin typeface="Nexa Extra Bold"/>
        <a:ea typeface=""/>
        <a:cs typeface=""/>
      </a:majorFont>
      <a:minorFont>
        <a:latin typeface="Nexa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5B49E-6036-4A3A-87E9-B01872EA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CYRRUS-Hlavickovy_papir_2021 (2)</Template>
  <TotalTime>3</TotalTime>
  <Pages>8</Pages>
  <Words>2446</Words>
  <Characters>14432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Hradil Vít</dc:creator>
  <cp:keywords/>
  <dc:description/>
  <cp:lastModifiedBy>Petra Kopecká</cp:lastModifiedBy>
  <cp:revision>3</cp:revision>
  <cp:lastPrinted>2022-11-28T17:11:00Z</cp:lastPrinted>
  <dcterms:created xsi:type="dcterms:W3CDTF">2022-11-28T17:11:00Z</dcterms:created>
  <dcterms:modified xsi:type="dcterms:W3CDTF">2022-11-28T17:13:00Z</dcterms:modified>
</cp:coreProperties>
</file>